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b/>
          <w:sz w:val="24"/>
          <w:szCs w:val="24"/>
        </w:rPr>
      </w:pPr>
      <w:bookmarkStart w:id="0" w:name="_GoBack"/>
      <w:r>
        <w:rPr>
          <w:rFonts w:hint="eastAsia"/>
          <w:b/>
          <w:sz w:val="24"/>
          <w:szCs w:val="24"/>
        </w:rPr>
        <w:t>附件一：《第五轮学科评估工作方案》</w:t>
      </w:r>
    </w:p>
    <w:bookmarkEnd w:id="0"/>
    <w:p>
      <w:pPr>
        <w:spacing w:line="360" w:lineRule="auto"/>
        <w:ind w:firstLine="482" w:firstLineChars="200"/>
        <w:rPr>
          <w:rFonts w:hint="eastAsia"/>
          <w:b/>
          <w:sz w:val="24"/>
          <w:szCs w:val="24"/>
        </w:rPr>
      </w:pPr>
      <w:r>
        <w:rPr>
          <w:rFonts w:hint="eastAsia"/>
          <w:b/>
          <w:sz w:val="24"/>
          <w:szCs w:val="24"/>
        </w:rPr>
        <w:t>一、指导思想</w:t>
      </w:r>
    </w:p>
    <w:p>
      <w:pPr>
        <w:spacing w:line="360" w:lineRule="auto"/>
        <w:ind w:firstLine="480" w:firstLineChars="200"/>
        <w:rPr>
          <w:rFonts w:hint="eastAsia"/>
          <w:sz w:val="24"/>
          <w:szCs w:val="24"/>
        </w:rPr>
      </w:pPr>
      <w:r>
        <w:rPr>
          <w:rFonts w:hint="eastAsia"/>
          <w:sz w:val="24"/>
          <w:szCs w:val="24"/>
        </w:rPr>
        <w:t>以习近平新时代中国特色社会主义思想为指导，深入贯彻中共中央、国务院《深化新时代教育评价改革总体方案》精神，落实立德树人根本任务，遵循教育规律，扭转不科学的评价导向，加快建立中国特色、世界水平的教育评价体系，提升我国学科建设水平和人才培养质量，推动实现高等教育内涵式发展。</w:t>
      </w:r>
    </w:p>
    <w:p>
      <w:pPr>
        <w:spacing w:line="360" w:lineRule="auto"/>
        <w:ind w:firstLine="482" w:firstLineChars="200"/>
        <w:rPr>
          <w:rFonts w:hint="eastAsia"/>
          <w:b/>
          <w:sz w:val="24"/>
          <w:szCs w:val="24"/>
        </w:rPr>
      </w:pPr>
      <w:r>
        <w:rPr>
          <w:rFonts w:hint="eastAsia"/>
          <w:b/>
          <w:sz w:val="24"/>
          <w:szCs w:val="24"/>
        </w:rPr>
        <w:t>二、基本原则</w:t>
      </w:r>
    </w:p>
    <w:p>
      <w:pPr>
        <w:spacing w:line="360" w:lineRule="auto"/>
        <w:ind w:firstLine="480" w:firstLineChars="200"/>
        <w:rPr>
          <w:rFonts w:hint="eastAsia"/>
          <w:sz w:val="24"/>
          <w:szCs w:val="24"/>
        </w:rPr>
      </w:pPr>
      <w:r>
        <w:rPr>
          <w:rFonts w:hint="eastAsia"/>
          <w:sz w:val="24"/>
          <w:szCs w:val="24"/>
        </w:rPr>
        <w:t>聚焦立德树人。构建以立德树人成效为根本标准，以“质量、成效、特色、贡献”为价值导向，以定量与定性评价相结合为基本方法的评估体系，在保持一级学科整体水平评估基本定位和评估体系框架基本稳定的基础上，坚持继承创新。</w:t>
      </w:r>
    </w:p>
    <w:p>
      <w:pPr>
        <w:spacing w:line="360" w:lineRule="auto"/>
        <w:ind w:firstLine="480" w:firstLineChars="200"/>
        <w:rPr>
          <w:rFonts w:hint="eastAsia"/>
          <w:sz w:val="24"/>
          <w:szCs w:val="24"/>
        </w:rPr>
      </w:pPr>
      <w:r>
        <w:rPr>
          <w:rFonts w:hint="eastAsia"/>
          <w:sz w:val="24"/>
          <w:szCs w:val="24"/>
        </w:rPr>
        <w:t>突出诊断功能。评估体系和信息服务突出诊断功能，坚持以评促建、以评促升。通过学科发展纵向分析和横向比较，总结阶段性进展，查找结构性短板，呈现优势与不足，助力学科内部治理能力提升。</w:t>
      </w:r>
    </w:p>
    <w:p>
      <w:pPr>
        <w:spacing w:line="360" w:lineRule="auto"/>
        <w:ind w:firstLine="480" w:firstLineChars="200"/>
        <w:rPr>
          <w:rFonts w:hint="eastAsia"/>
          <w:sz w:val="24"/>
          <w:szCs w:val="24"/>
        </w:rPr>
      </w:pPr>
      <w:r>
        <w:rPr>
          <w:rFonts w:hint="eastAsia"/>
          <w:sz w:val="24"/>
          <w:szCs w:val="24"/>
        </w:rPr>
        <w:t>强化分类评价。以一级学科为单元，突出特色，体现优势，加强不同学科分类评价。强化“代表作”和“典型案例”评价，设置开放性留白，充分体现办学定位与特色贡献。</w:t>
      </w:r>
    </w:p>
    <w:p>
      <w:pPr>
        <w:spacing w:line="360" w:lineRule="auto"/>
        <w:ind w:firstLine="480" w:firstLineChars="200"/>
        <w:rPr>
          <w:rFonts w:hint="eastAsia"/>
          <w:sz w:val="24"/>
          <w:szCs w:val="24"/>
        </w:rPr>
      </w:pPr>
      <w:r>
        <w:rPr>
          <w:rFonts w:hint="eastAsia"/>
          <w:sz w:val="24"/>
          <w:szCs w:val="24"/>
        </w:rPr>
        <w:t>彰显中国特色。立足中国国情和学科发展实际，借鉴国外有益经验，构建中国特色评价体系，创新评价方法，树立中国标准，特别是哲学社会科学更加凸显中国风格和中国气派。</w:t>
      </w:r>
    </w:p>
    <w:p>
      <w:pPr>
        <w:spacing w:line="360" w:lineRule="auto"/>
        <w:ind w:firstLine="482" w:firstLineChars="200"/>
        <w:rPr>
          <w:rFonts w:hint="eastAsia"/>
          <w:b/>
          <w:sz w:val="24"/>
          <w:szCs w:val="24"/>
        </w:rPr>
      </w:pPr>
      <w:r>
        <w:rPr>
          <w:rFonts w:hint="eastAsia"/>
          <w:b/>
          <w:sz w:val="24"/>
          <w:szCs w:val="24"/>
        </w:rPr>
        <w:t>三、主要举措</w:t>
      </w:r>
    </w:p>
    <w:p>
      <w:pPr>
        <w:spacing w:line="360" w:lineRule="auto"/>
        <w:ind w:firstLine="480" w:firstLineChars="200"/>
        <w:rPr>
          <w:rFonts w:hint="eastAsia"/>
          <w:sz w:val="24"/>
          <w:szCs w:val="24"/>
        </w:rPr>
      </w:pPr>
      <w:r>
        <w:rPr>
          <w:rFonts w:hint="eastAsia"/>
          <w:sz w:val="24"/>
          <w:szCs w:val="24"/>
        </w:rPr>
        <w:t>1. 强化人才培养中心地位</w:t>
      </w:r>
    </w:p>
    <w:p>
      <w:pPr>
        <w:spacing w:line="360" w:lineRule="auto"/>
        <w:ind w:firstLine="480" w:firstLineChars="200"/>
        <w:rPr>
          <w:rFonts w:hint="eastAsia"/>
          <w:sz w:val="24"/>
          <w:szCs w:val="24"/>
        </w:rPr>
      </w:pPr>
      <w:r>
        <w:rPr>
          <w:rFonts w:hint="eastAsia"/>
          <w:sz w:val="24"/>
          <w:szCs w:val="24"/>
        </w:rPr>
        <w:t>把人才培养质量放在首位，构建“思想政治教育成效”“培养过程质量”“在校生质量”“毕业生质量”四维度评价体系。一是加强思想政治教育成效评价。把思想政治教育放在人才培养首位，重点考察“三全育人”综合改革情况及成效。二是加强人才培养过程质量评价。重点考察教材体系、课程体系、教学体系、国际交流等方面情况，突出科学研究等对人才培养的支撑作用。三是加强在学质量与毕业质量相结合的学生质量评价。在学质量突出学生“德智体美劳”全方位代表性成果，注重学生参与度和贡献度；毕业质量坚持整体就业质量和职业发展质量相结合，注重用人单位评价。</w:t>
      </w:r>
    </w:p>
    <w:p>
      <w:pPr>
        <w:spacing w:line="360" w:lineRule="auto"/>
        <w:ind w:firstLine="480" w:firstLineChars="200"/>
        <w:rPr>
          <w:rFonts w:hint="eastAsia"/>
          <w:sz w:val="24"/>
          <w:szCs w:val="24"/>
        </w:rPr>
      </w:pPr>
      <w:r>
        <w:rPr>
          <w:rFonts w:hint="eastAsia"/>
          <w:sz w:val="24"/>
          <w:szCs w:val="24"/>
        </w:rPr>
        <w:t>2. 坚决破除“五唯”顽疾</w:t>
      </w:r>
    </w:p>
    <w:p>
      <w:pPr>
        <w:spacing w:line="360" w:lineRule="auto"/>
        <w:ind w:firstLine="480" w:firstLineChars="200"/>
        <w:rPr>
          <w:rFonts w:hint="eastAsia"/>
          <w:sz w:val="24"/>
          <w:szCs w:val="24"/>
        </w:rPr>
      </w:pPr>
      <w:r>
        <w:rPr>
          <w:rFonts w:hint="eastAsia"/>
          <w:sz w:val="24"/>
          <w:szCs w:val="24"/>
        </w:rPr>
        <w:t>注重多元评价，采取多维方法。评价教师不唯学历和职称，不设置人才“帽子”指标，避免片面以学术头衔评价学术水平的做法。评价科研水平不唯论文和奖项，设置“代表性学术著作”“专利转化”“新药研发”等指标，进行多维度科研成效评价。评价学术论文聚焦标志性学术成果，采用“计量评价与专家评价相结合”“中国期刊与国外期刊相结合”的“代表作评价”方法，淡化论文收录数和引用率，不将SCI、ESI相关指标作为直接判断依据，规定代表作中必须包含一定比例的中国期刊论文，突出标志性学术成果的创新质量和学术贡献。充分运用基于定量数据和客观证据的专家融合评价方法，坚持代表性成果专家评价与高水平成果定量评价相结合。</w:t>
      </w:r>
    </w:p>
    <w:p>
      <w:pPr>
        <w:spacing w:line="360" w:lineRule="auto"/>
        <w:ind w:firstLine="480" w:firstLineChars="200"/>
        <w:rPr>
          <w:rFonts w:hint="eastAsia"/>
          <w:sz w:val="24"/>
          <w:szCs w:val="24"/>
        </w:rPr>
      </w:pPr>
      <w:r>
        <w:rPr>
          <w:rFonts w:hint="eastAsia"/>
          <w:sz w:val="24"/>
          <w:szCs w:val="24"/>
        </w:rPr>
        <w:t>3. 改革教师队伍评价</w:t>
      </w:r>
    </w:p>
    <w:p>
      <w:pPr>
        <w:spacing w:line="360" w:lineRule="auto"/>
        <w:ind w:firstLine="480" w:firstLineChars="200"/>
        <w:rPr>
          <w:rFonts w:hint="eastAsia"/>
          <w:sz w:val="24"/>
          <w:szCs w:val="24"/>
        </w:rPr>
      </w:pPr>
      <w:r>
        <w:rPr>
          <w:rFonts w:hint="eastAsia"/>
          <w:sz w:val="24"/>
          <w:szCs w:val="24"/>
        </w:rPr>
        <w:t>把师德师风作为评价教师的第一标准，促进师德与师能相统一。采用“队伍总体结构与代表性教师相结合”的方法评价教师队伍质量，重视青年教师队伍情况。加强教师以教书育人为首要职责的评价，把教授为本科生上课和指导研究生情况作为重要观测点。教师成果严格按署名单位认定、不随人走，关注教师在本单位工作年限和授课情况，抑制人才无序流动。</w:t>
      </w:r>
    </w:p>
    <w:p>
      <w:pPr>
        <w:spacing w:line="360" w:lineRule="auto"/>
        <w:ind w:firstLine="480" w:firstLineChars="200"/>
        <w:rPr>
          <w:rFonts w:hint="eastAsia"/>
          <w:sz w:val="24"/>
          <w:szCs w:val="24"/>
        </w:rPr>
      </w:pPr>
      <w:r>
        <w:rPr>
          <w:rFonts w:hint="eastAsia"/>
          <w:sz w:val="24"/>
          <w:szCs w:val="24"/>
        </w:rPr>
        <w:t>4. 突出质量、贡献和特色</w:t>
      </w:r>
    </w:p>
    <w:p>
      <w:pPr>
        <w:spacing w:line="360" w:lineRule="auto"/>
        <w:ind w:firstLine="480" w:firstLineChars="200"/>
        <w:rPr>
          <w:rFonts w:hint="eastAsia"/>
          <w:sz w:val="24"/>
          <w:szCs w:val="24"/>
        </w:rPr>
      </w:pPr>
      <w:r>
        <w:rPr>
          <w:rFonts w:hint="eastAsia"/>
          <w:sz w:val="24"/>
          <w:szCs w:val="24"/>
        </w:rPr>
        <w:t>在评估整体导向上突出质量、贡献和特色。强化质量，淡化数量，不设置发表论文数、出版专著数、申请专利数等指标，突出原创性、前沿性、突破性成果。强化学科对国家、区域重大战略需求和经济社会发展的实际贡献，哲学社会科学学科更加强调发挥文化传承创新与智库作用，自然科学学科更加强调科技成果转化应用与解决关键核心技术问题。强化分类特色评价，按一级学科分别设置指标体系，充分体现办学定位与学科优势。</w:t>
      </w:r>
    </w:p>
    <w:p>
      <w:pPr>
        <w:spacing w:line="360" w:lineRule="auto"/>
        <w:ind w:firstLine="480" w:firstLineChars="200"/>
        <w:rPr>
          <w:rFonts w:hint="eastAsia"/>
          <w:sz w:val="24"/>
          <w:szCs w:val="24"/>
        </w:rPr>
      </w:pPr>
      <w:r>
        <w:rPr>
          <w:rFonts w:hint="eastAsia"/>
          <w:sz w:val="24"/>
          <w:szCs w:val="24"/>
        </w:rPr>
        <w:t>5. 提升数据可靠性和评价科学性</w:t>
      </w:r>
    </w:p>
    <w:p>
      <w:pPr>
        <w:spacing w:line="360" w:lineRule="auto"/>
        <w:ind w:firstLine="480" w:firstLineChars="200"/>
        <w:rPr>
          <w:rFonts w:hint="eastAsia"/>
          <w:sz w:val="24"/>
          <w:szCs w:val="24"/>
        </w:rPr>
      </w:pPr>
      <w:r>
        <w:rPr>
          <w:rFonts w:hint="eastAsia"/>
          <w:sz w:val="24"/>
          <w:szCs w:val="24"/>
        </w:rPr>
        <w:t>优化参评规则，坚持“归属度”原则，鼓励学科交叉融合和学科生态优化，确保跨学科成果合理使用。完善信息填报标准，加大信息公示力度，创新信息审核机制，提升智能核查水平，建立违规惩戒机制，进一步提高评估信息可靠性。适度扩大评议专家规模，制定专家评价指南，优化调查问卷设计，充分运用“融合评价”，建立专家“元评价”制度，进一步提升专家评价和问卷调查的科学性。</w:t>
      </w:r>
    </w:p>
    <w:p>
      <w:pPr>
        <w:spacing w:line="360" w:lineRule="auto"/>
        <w:ind w:firstLine="480" w:firstLineChars="200"/>
        <w:rPr>
          <w:rFonts w:hint="eastAsia"/>
          <w:sz w:val="24"/>
          <w:szCs w:val="24"/>
        </w:rPr>
      </w:pPr>
      <w:r>
        <w:rPr>
          <w:rFonts w:hint="eastAsia"/>
          <w:sz w:val="24"/>
          <w:szCs w:val="24"/>
        </w:rPr>
        <w:t>6.多元呈现评估结果</w:t>
      </w:r>
    </w:p>
    <w:p>
      <w:pPr>
        <w:spacing w:line="360" w:lineRule="auto"/>
        <w:rPr>
          <w:rFonts w:hint="eastAsia"/>
          <w:sz w:val="24"/>
          <w:szCs w:val="24"/>
        </w:rPr>
      </w:pPr>
      <w:r>
        <w:rPr>
          <w:rFonts w:hint="eastAsia"/>
          <w:sz w:val="24"/>
          <w:szCs w:val="24"/>
        </w:rPr>
        <w:t>优化结果分档方法，多元呈现评估结果，分类发布总体结果与提供单项评估结果相结合。深化评估信息挖掘，向政府和参评单位按需提供诊断分析服务，促进学科内涵建设和高质量发展。</w:t>
      </w:r>
    </w:p>
    <w:p>
      <w:pPr>
        <w:spacing w:line="360" w:lineRule="auto"/>
        <w:ind w:firstLine="482" w:firstLineChars="200"/>
        <w:rPr>
          <w:rFonts w:hint="eastAsia"/>
          <w:b/>
          <w:sz w:val="24"/>
          <w:szCs w:val="24"/>
        </w:rPr>
      </w:pPr>
      <w:r>
        <w:rPr>
          <w:rFonts w:hint="eastAsia"/>
          <w:b/>
          <w:sz w:val="24"/>
          <w:szCs w:val="24"/>
        </w:rPr>
        <w:t>四、评估程序</w:t>
      </w:r>
    </w:p>
    <w:p>
      <w:pPr>
        <w:spacing w:line="360" w:lineRule="auto"/>
        <w:ind w:firstLine="480" w:firstLineChars="200"/>
        <w:rPr>
          <w:rFonts w:hint="eastAsia"/>
          <w:sz w:val="24"/>
          <w:szCs w:val="24"/>
        </w:rPr>
      </w:pPr>
      <w:r>
        <w:rPr>
          <w:rFonts w:hint="eastAsia"/>
          <w:sz w:val="24"/>
          <w:szCs w:val="24"/>
        </w:rPr>
        <w:t>1. 自愿申请。各学位授予单位的博士硕士学位授权学科，均可按规则自愿申请参评。</w:t>
      </w:r>
    </w:p>
    <w:p>
      <w:pPr>
        <w:spacing w:line="360" w:lineRule="auto"/>
        <w:ind w:firstLine="480" w:firstLineChars="200"/>
        <w:rPr>
          <w:rFonts w:hint="eastAsia"/>
          <w:sz w:val="24"/>
          <w:szCs w:val="24"/>
        </w:rPr>
      </w:pPr>
      <w:r>
        <w:rPr>
          <w:rFonts w:hint="eastAsia"/>
          <w:sz w:val="24"/>
          <w:szCs w:val="24"/>
        </w:rPr>
        <w:t>2. 信息采集。采用“公共数据获取与单位审核补充相结合”的信息采集模式，将通过公共渠道获取的信息提供给参评单位确认并补充必要材料，着力减轻单位负担。</w:t>
      </w:r>
    </w:p>
    <w:p>
      <w:pPr>
        <w:spacing w:line="360" w:lineRule="auto"/>
        <w:ind w:firstLine="480" w:firstLineChars="200"/>
        <w:rPr>
          <w:rFonts w:hint="eastAsia"/>
          <w:sz w:val="24"/>
          <w:szCs w:val="24"/>
        </w:rPr>
      </w:pPr>
      <w:r>
        <w:rPr>
          <w:rFonts w:hint="eastAsia"/>
          <w:sz w:val="24"/>
          <w:szCs w:val="24"/>
        </w:rPr>
        <w:t>3. 信息核查。通过材料形式审查、信息逻辑检查、公共数据比对、证明材料核查、重复数据筛查、重点数据抽查、学科归属分析等七项措施，对评估信息进行全面核查和“清洗”。</w:t>
      </w:r>
    </w:p>
    <w:p>
      <w:pPr>
        <w:spacing w:line="360" w:lineRule="auto"/>
        <w:ind w:firstLine="480" w:firstLineChars="200"/>
        <w:rPr>
          <w:rFonts w:hint="eastAsia"/>
          <w:sz w:val="24"/>
          <w:szCs w:val="24"/>
        </w:rPr>
      </w:pPr>
      <w:r>
        <w:rPr>
          <w:rFonts w:hint="eastAsia"/>
          <w:sz w:val="24"/>
          <w:szCs w:val="24"/>
        </w:rPr>
        <w:t>4. 信息公示。在确保信息安全的前提下，对部分评估信息进行网上公示，由参评单位相互监督并提出异议。</w:t>
      </w:r>
    </w:p>
    <w:p>
      <w:pPr>
        <w:spacing w:line="360" w:lineRule="auto"/>
        <w:ind w:firstLine="480" w:firstLineChars="200"/>
        <w:rPr>
          <w:rFonts w:hint="eastAsia"/>
          <w:sz w:val="24"/>
          <w:szCs w:val="24"/>
        </w:rPr>
      </w:pPr>
      <w:r>
        <w:rPr>
          <w:rFonts w:hint="eastAsia"/>
          <w:sz w:val="24"/>
          <w:szCs w:val="24"/>
        </w:rPr>
        <w:t>5. 反馈复核。对信息核查和信息公示中发现的存疑问题，汇总反馈至相关单位复核，对弄虚作假行为进行惩戒。</w:t>
      </w:r>
    </w:p>
    <w:p>
      <w:pPr>
        <w:spacing w:line="360" w:lineRule="auto"/>
        <w:ind w:firstLine="480" w:firstLineChars="200"/>
        <w:rPr>
          <w:rFonts w:hint="eastAsia"/>
          <w:sz w:val="24"/>
          <w:szCs w:val="24"/>
        </w:rPr>
      </w:pPr>
      <w:r>
        <w:rPr>
          <w:rFonts w:hint="eastAsia"/>
          <w:sz w:val="24"/>
          <w:szCs w:val="24"/>
        </w:rPr>
        <w:t>6. 专家评价。按一级学科和评价指标分类遴选专家，请专家对各定性评价指标进行逐项评价。</w:t>
      </w:r>
    </w:p>
    <w:p>
      <w:pPr>
        <w:spacing w:line="360" w:lineRule="auto"/>
        <w:ind w:firstLine="480" w:firstLineChars="200"/>
        <w:rPr>
          <w:rFonts w:hint="eastAsia"/>
          <w:sz w:val="24"/>
          <w:szCs w:val="24"/>
        </w:rPr>
      </w:pPr>
      <w:r>
        <w:rPr>
          <w:rFonts w:hint="eastAsia"/>
          <w:sz w:val="24"/>
          <w:szCs w:val="24"/>
        </w:rPr>
        <w:t>7. 问卷调查。通过网络调查平台对学生和用人单位进行问卷调查。邀请同行和行业专家对学科声誉进行问卷调查，邀请境外同行专家对部分学科开展国际声誉调查。</w:t>
      </w:r>
    </w:p>
    <w:p>
      <w:pPr>
        <w:spacing w:line="360" w:lineRule="auto"/>
        <w:ind w:firstLine="480" w:firstLineChars="200"/>
        <w:rPr>
          <w:rFonts w:hint="eastAsia"/>
          <w:sz w:val="24"/>
          <w:szCs w:val="24"/>
        </w:rPr>
      </w:pPr>
      <w:r>
        <w:rPr>
          <w:rFonts w:hint="eastAsia"/>
          <w:sz w:val="24"/>
          <w:szCs w:val="24"/>
        </w:rPr>
        <w:t>8. 结果形成。根据定量指标和定性指标评价结果，依据专家确定的指标权重，统计形成评估结果。</w:t>
      </w:r>
    </w:p>
    <w:p>
      <w:pPr>
        <w:spacing w:line="360" w:lineRule="auto"/>
        <w:ind w:firstLine="480" w:firstLineChars="200"/>
        <w:rPr>
          <w:rFonts w:hint="eastAsia"/>
          <w:sz w:val="24"/>
          <w:szCs w:val="24"/>
        </w:rPr>
      </w:pPr>
      <w:r>
        <w:rPr>
          <w:rFonts w:hint="eastAsia"/>
          <w:sz w:val="24"/>
          <w:szCs w:val="24"/>
        </w:rPr>
        <w:t>9. 结果发布。分类分档发布总体评估结果，探索提供多维度评估结果。</w:t>
      </w:r>
    </w:p>
    <w:p>
      <w:pPr>
        <w:spacing w:line="360" w:lineRule="auto"/>
        <w:ind w:firstLine="480" w:firstLineChars="200"/>
        <w:rPr>
          <w:rFonts w:hint="eastAsia"/>
          <w:sz w:val="24"/>
          <w:szCs w:val="24"/>
        </w:rPr>
      </w:pPr>
      <w:r>
        <w:rPr>
          <w:rFonts w:hint="eastAsia"/>
          <w:sz w:val="24"/>
          <w:szCs w:val="24"/>
        </w:rPr>
        <w:t>10. 诊断分析。深入开展信息挖掘分析，为参评学科和单位提供诊断分析服务，发挥评估诊断作用；为政府提供总体分析研究报告，发挥评估智库作用。</w:t>
      </w:r>
    </w:p>
    <w:p>
      <w:pPr>
        <w:spacing w:line="360" w:lineRule="auto"/>
        <w:rPr>
          <w:rFonts w:hint="eastAsia"/>
          <w:sz w:val="24"/>
          <w:szCs w:val="24"/>
        </w:rPr>
      </w:pPr>
      <w:r>
        <w:rPr>
          <w:rFonts w:hint="eastAsia"/>
          <w:sz w:val="24"/>
          <w:szCs w:val="24"/>
        </w:rPr>
        <w:t>附：第五轮学科评估指标体系框架</w:t>
      </w:r>
    </w:p>
    <w:tbl>
      <w:tblPr>
        <w:tblStyle w:val="2"/>
        <w:tblW w:w="8160" w:type="dxa"/>
        <w:jc w:val="center"/>
        <w:shd w:val="clear" w:color="auto" w:fill="FFFFFF"/>
        <w:tblLayout w:type="autofit"/>
        <w:tblCellMar>
          <w:top w:w="0" w:type="dxa"/>
          <w:left w:w="0" w:type="dxa"/>
          <w:bottom w:w="0" w:type="dxa"/>
          <w:right w:w="0" w:type="dxa"/>
        </w:tblCellMar>
      </w:tblPr>
      <w:tblGrid>
        <w:gridCol w:w="1881"/>
        <w:gridCol w:w="2434"/>
        <w:gridCol w:w="3845"/>
      </w:tblGrid>
      <w:tr>
        <w:tblPrEx>
          <w:shd w:val="clear" w:color="auto" w:fill="FFFFFF"/>
        </w:tblPrEx>
        <w:trPr>
          <w:trHeight w:val="420" w:hRule="atLeast"/>
          <w:tblHeader/>
          <w:jc w:val="center"/>
        </w:trPr>
        <w:tc>
          <w:tcPr>
            <w:tcW w:w="1881" w:type="dxa"/>
            <w:tcBorders>
              <w:top w:val="single" w:color="auto" w:sz="12" w:space="0"/>
              <w:left w:val="single" w:color="auto" w:sz="12" w:space="0"/>
              <w:bottom w:val="single" w:color="auto" w:sz="12" w:space="0"/>
              <w:right w:val="single" w:color="auto" w:sz="12" w:space="0"/>
            </w:tcBorders>
            <w:shd w:val="clear" w:color="auto" w:fill="FFFFFF"/>
            <w:vAlign w:val="center"/>
          </w:tcPr>
          <w:p>
            <w:pPr>
              <w:widowControl/>
              <w:spacing w:line="300" w:lineRule="atLeast"/>
              <w:jc w:val="center"/>
              <w:rPr>
                <w:rFonts w:ascii="Microsoft YaHei UI" w:hAnsi="Microsoft YaHei UI" w:eastAsia="Microsoft YaHei UI" w:cs="宋体"/>
                <w:color w:val="333333"/>
                <w:spacing w:val="8"/>
                <w:kern w:val="0"/>
                <w:szCs w:val="21"/>
              </w:rPr>
            </w:pPr>
            <w:r>
              <w:rPr>
                <w:rFonts w:hint="eastAsia" w:ascii="Microsoft YaHei UI" w:hAnsi="Microsoft YaHei UI" w:eastAsia="Microsoft YaHei UI" w:cs="宋体"/>
                <w:b/>
                <w:bCs/>
                <w:color w:val="000000"/>
                <w:spacing w:val="8"/>
                <w:kern w:val="0"/>
                <w:szCs w:val="21"/>
              </w:rPr>
              <w:t>一级指标</w:t>
            </w:r>
          </w:p>
        </w:tc>
        <w:tc>
          <w:tcPr>
            <w:tcW w:w="2434" w:type="dxa"/>
            <w:tcBorders>
              <w:top w:val="single" w:color="auto" w:sz="12" w:space="0"/>
              <w:left w:val="nil"/>
              <w:bottom w:val="single" w:color="auto" w:sz="12" w:space="0"/>
              <w:right w:val="single" w:color="auto" w:sz="12" w:space="0"/>
            </w:tcBorders>
            <w:shd w:val="clear" w:color="auto" w:fill="FFFFFF"/>
            <w:tcMar>
              <w:top w:w="0" w:type="dxa"/>
              <w:left w:w="120" w:type="dxa"/>
              <w:bottom w:w="0" w:type="dxa"/>
              <w:right w:w="120" w:type="dxa"/>
            </w:tcMar>
            <w:vAlign w:val="center"/>
          </w:tcPr>
          <w:p>
            <w:pPr>
              <w:widowControl/>
              <w:wordWrap w:val="0"/>
              <w:spacing w:line="300" w:lineRule="atLeast"/>
              <w:jc w:val="center"/>
              <w:rPr>
                <w:rFonts w:ascii="Microsoft YaHei UI" w:hAnsi="Microsoft YaHei UI" w:eastAsia="Microsoft YaHei UI" w:cs="宋体"/>
                <w:color w:val="333333"/>
                <w:spacing w:val="8"/>
                <w:kern w:val="0"/>
                <w:szCs w:val="21"/>
              </w:rPr>
            </w:pPr>
            <w:r>
              <w:rPr>
                <w:rFonts w:hint="eastAsia" w:ascii="Microsoft YaHei UI" w:hAnsi="Microsoft YaHei UI" w:eastAsia="Microsoft YaHei UI" w:cs="宋体"/>
                <w:b/>
                <w:bCs/>
                <w:color w:val="000000"/>
                <w:spacing w:val="8"/>
                <w:kern w:val="0"/>
                <w:szCs w:val="21"/>
              </w:rPr>
              <w:t>二级指标</w:t>
            </w:r>
          </w:p>
        </w:tc>
        <w:tc>
          <w:tcPr>
            <w:tcW w:w="3845" w:type="dxa"/>
            <w:tcBorders>
              <w:top w:val="single" w:color="auto" w:sz="12" w:space="0"/>
              <w:left w:val="nil"/>
              <w:bottom w:val="single" w:color="auto" w:sz="12" w:space="0"/>
              <w:right w:val="single" w:color="auto" w:sz="12" w:space="0"/>
            </w:tcBorders>
            <w:shd w:val="clear" w:color="auto" w:fill="FFFFFF"/>
            <w:vAlign w:val="center"/>
          </w:tcPr>
          <w:p>
            <w:pPr>
              <w:widowControl/>
              <w:wordWrap w:val="0"/>
              <w:spacing w:line="300" w:lineRule="atLeast"/>
              <w:jc w:val="center"/>
              <w:rPr>
                <w:rFonts w:ascii="Microsoft YaHei UI" w:hAnsi="Microsoft YaHei UI" w:eastAsia="Microsoft YaHei UI" w:cs="宋体"/>
                <w:color w:val="333333"/>
                <w:spacing w:val="8"/>
                <w:kern w:val="0"/>
                <w:szCs w:val="21"/>
              </w:rPr>
            </w:pPr>
            <w:r>
              <w:rPr>
                <w:rFonts w:hint="eastAsia" w:ascii="Microsoft YaHei UI" w:hAnsi="Microsoft YaHei UI" w:eastAsia="Microsoft YaHei UI" w:cs="宋体"/>
                <w:b/>
                <w:bCs/>
                <w:color w:val="000000"/>
                <w:spacing w:val="8"/>
                <w:kern w:val="0"/>
                <w:szCs w:val="21"/>
              </w:rPr>
              <w:t>三级指标</w:t>
            </w:r>
          </w:p>
        </w:tc>
      </w:tr>
      <w:tr>
        <w:tblPrEx>
          <w:shd w:val="clear" w:color="auto" w:fill="FFFFFF"/>
          <w:tblCellMar>
            <w:top w:w="0" w:type="dxa"/>
            <w:left w:w="0" w:type="dxa"/>
            <w:bottom w:w="0" w:type="dxa"/>
            <w:right w:w="0" w:type="dxa"/>
          </w:tblCellMar>
        </w:tblPrEx>
        <w:trPr>
          <w:trHeight w:val="420" w:hRule="atLeast"/>
          <w:jc w:val="center"/>
        </w:trPr>
        <w:tc>
          <w:tcPr>
            <w:tcW w:w="1881" w:type="dxa"/>
            <w:vMerge w:val="restart"/>
            <w:tcBorders>
              <w:top w:val="nil"/>
              <w:left w:val="single" w:color="auto" w:sz="12" w:space="0"/>
              <w:bottom w:val="single" w:color="auto" w:sz="12" w:space="0"/>
              <w:right w:val="single" w:color="auto" w:sz="12" w:space="0"/>
            </w:tcBorders>
            <w:shd w:val="clear" w:color="auto" w:fill="FFFFFF"/>
            <w:vAlign w:val="center"/>
          </w:tcPr>
          <w:p>
            <w:pPr>
              <w:widowControl/>
              <w:wordWrap w:val="0"/>
              <w:spacing w:line="300" w:lineRule="exact"/>
              <w:jc w:val="center"/>
              <w:rPr>
                <w:rFonts w:hint="eastAsia" w:ascii="Microsoft YaHei UI" w:hAnsi="Microsoft YaHei UI" w:eastAsia="Microsoft YaHei UI" w:cs="宋体"/>
                <w:color w:val="333333"/>
                <w:spacing w:val="8"/>
                <w:kern w:val="0"/>
                <w:szCs w:val="21"/>
              </w:rPr>
            </w:pPr>
            <w:r>
              <w:rPr>
                <w:rFonts w:hint="eastAsia" w:ascii="Microsoft YaHei UI" w:hAnsi="Microsoft YaHei UI" w:eastAsia="Microsoft YaHei UI" w:cs="宋体"/>
                <w:b/>
                <w:bCs/>
                <w:color w:val="000000"/>
                <w:spacing w:val="8"/>
                <w:kern w:val="0"/>
                <w:szCs w:val="21"/>
              </w:rPr>
              <w:t>A.</w:t>
            </w:r>
          </w:p>
          <w:p>
            <w:pPr>
              <w:widowControl/>
              <w:wordWrap w:val="0"/>
              <w:spacing w:line="300" w:lineRule="exact"/>
              <w:jc w:val="center"/>
              <w:rPr>
                <w:rFonts w:hint="eastAsia" w:ascii="Microsoft YaHei UI" w:hAnsi="Microsoft YaHei UI" w:eastAsia="Microsoft YaHei UI" w:cs="宋体"/>
                <w:color w:val="333333"/>
                <w:spacing w:val="8"/>
                <w:kern w:val="0"/>
                <w:szCs w:val="21"/>
              </w:rPr>
            </w:pPr>
            <w:r>
              <w:rPr>
                <w:rFonts w:hint="eastAsia" w:ascii="Microsoft YaHei UI" w:hAnsi="Microsoft YaHei UI" w:eastAsia="Microsoft YaHei UI" w:cs="宋体"/>
                <w:b/>
                <w:bCs/>
                <w:color w:val="000000"/>
                <w:spacing w:val="8"/>
                <w:kern w:val="0"/>
                <w:szCs w:val="21"/>
              </w:rPr>
              <w:t>人才培养</w:t>
            </w:r>
          </w:p>
          <w:p>
            <w:pPr>
              <w:widowControl/>
              <w:wordWrap w:val="0"/>
              <w:spacing w:line="300" w:lineRule="exact"/>
              <w:jc w:val="center"/>
              <w:rPr>
                <w:rFonts w:ascii="Microsoft YaHei UI" w:hAnsi="Microsoft YaHei UI" w:eastAsia="Microsoft YaHei UI" w:cs="宋体"/>
                <w:color w:val="333333"/>
                <w:spacing w:val="8"/>
                <w:kern w:val="0"/>
                <w:szCs w:val="21"/>
              </w:rPr>
            </w:pPr>
            <w:r>
              <w:rPr>
                <w:rFonts w:hint="eastAsia" w:ascii="Microsoft YaHei UI" w:hAnsi="Microsoft YaHei UI" w:eastAsia="Microsoft YaHei UI" w:cs="宋体"/>
                <w:b/>
                <w:bCs/>
                <w:color w:val="000000"/>
                <w:spacing w:val="8"/>
                <w:kern w:val="0"/>
                <w:szCs w:val="21"/>
              </w:rPr>
              <w:t>质量</w:t>
            </w:r>
          </w:p>
        </w:tc>
        <w:tc>
          <w:tcPr>
            <w:tcW w:w="2434" w:type="dxa"/>
            <w:tcBorders>
              <w:top w:val="nil"/>
              <w:left w:val="nil"/>
              <w:bottom w:val="single" w:color="auto" w:sz="12" w:space="0"/>
              <w:right w:val="single" w:color="auto" w:sz="12" w:space="0"/>
            </w:tcBorders>
            <w:shd w:val="clear" w:color="auto" w:fill="FFFFFF"/>
            <w:tcMar>
              <w:top w:w="0" w:type="dxa"/>
              <w:left w:w="120" w:type="dxa"/>
              <w:bottom w:w="0" w:type="dxa"/>
              <w:right w:w="120" w:type="dxa"/>
            </w:tcMar>
            <w:vAlign w:val="center"/>
          </w:tcPr>
          <w:p>
            <w:pPr>
              <w:widowControl/>
              <w:spacing w:line="300" w:lineRule="exact"/>
              <w:jc w:val="center"/>
              <w:rPr>
                <w:rFonts w:ascii="Microsoft YaHei UI" w:hAnsi="Microsoft YaHei UI" w:eastAsia="Microsoft YaHei UI" w:cs="宋体"/>
                <w:color w:val="333333"/>
                <w:spacing w:val="8"/>
                <w:kern w:val="0"/>
                <w:szCs w:val="21"/>
              </w:rPr>
            </w:pPr>
            <w:r>
              <w:rPr>
                <w:rFonts w:hint="eastAsia" w:ascii="Microsoft YaHei UI" w:hAnsi="Microsoft YaHei UI" w:eastAsia="Microsoft YaHei UI" w:cs="宋体"/>
                <w:color w:val="000000"/>
                <w:spacing w:val="8"/>
                <w:kern w:val="0"/>
                <w:szCs w:val="21"/>
              </w:rPr>
              <w:t>A1.思政教育</w:t>
            </w:r>
          </w:p>
        </w:tc>
        <w:tc>
          <w:tcPr>
            <w:tcW w:w="3845" w:type="dxa"/>
            <w:tcBorders>
              <w:top w:val="nil"/>
              <w:left w:val="nil"/>
              <w:bottom w:val="single" w:color="auto" w:sz="12" w:space="0"/>
              <w:right w:val="single" w:color="auto" w:sz="12" w:space="0"/>
            </w:tcBorders>
            <w:shd w:val="clear" w:color="auto" w:fill="FFFFFF"/>
            <w:vAlign w:val="center"/>
          </w:tcPr>
          <w:p>
            <w:pPr>
              <w:widowControl/>
              <w:spacing w:line="300" w:lineRule="exact"/>
              <w:ind w:firstLine="225"/>
              <w:jc w:val="left"/>
              <w:rPr>
                <w:rFonts w:ascii="Microsoft YaHei UI" w:hAnsi="Microsoft YaHei UI" w:eastAsia="Microsoft YaHei UI" w:cs="宋体"/>
                <w:color w:val="333333"/>
                <w:spacing w:val="8"/>
                <w:kern w:val="0"/>
                <w:szCs w:val="21"/>
              </w:rPr>
            </w:pPr>
            <w:r>
              <w:rPr>
                <w:rFonts w:hint="eastAsia" w:ascii="Microsoft YaHei UI" w:hAnsi="Microsoft YaHei UI" w:eastAsia="Microsoft YaHei UI" w:cs="宋体"/>
                <w:color w:val="000000"/>
                <w:spacing w:val="8"/>
                <w:kern w:val="0"/>
                <w:szCs w:val="21"/>
              </w:rPr>
              <w:t>S1.思想政治教育特色与成效</w:t>
            </w:r>
          </w:p>
        </w:tc>
      </w:tr>
      <w:tr>
        <w:tblPrEx>
          <w:tblCellMar>
            <w:top w:w="0" w:type="dxa"/>
            <w:left w:w="0" w:type="dxa"/>
            <w:bottom w:w="0" w:type="dxa"/>
            <w:right w:w="0" w:type="dxa"/>
          </w:tblCellMar>
        </w:tblPrEx>
        <w:trPr>
          <w:trHeight w:val="420" w:hRule="atLeast"/>
          <w:jc w:val="center"/>
        </w:trPr>
        <w:tc>
          <w:tcPr>
            <w:tcW w:w="0" w:type="auto"/>
            <w:vMerge w:val="continue"/>
            <w:tcBorders>
              <w:top w:val="nil"/>
              <w:left w:val="single" w:color="auto" w:sz="12" w:space="0"/>
              <w:bottom w:val="single" w:color="auto" w:sz="12" w:space="0"/>
              <w:right w:val="single" w:color="auto" w:sz="12" w:space="0"/>
            </w:tcBorders>
            <w:shd w:val="clear" w:color="auto" w:fill="FFFFFF"/>
            <w:vAlign w:val="center"/>
          </w:tcPr>
          <w:p>
            <w:pPr>
              <w:widowControl/>
              <w:jc w:val="left"/>
              <w:rPr>
                <w:rFonts w:ascii="Microsoft YaHei UI" w:hAnsi="Microsoft YaHei UI" w:eastAsia="Microsoft YaHei UI" w:cs="宋体"/>
                <w:color w:val="333333"/>
                <w:spacing w:val="8"/>
                <w:kern w:val="0"/>
                <w:szCs w:val="21"/>
              </w:rPr>
            </w:pPr>
          </w:p>
        </w:tc>
        <w:tc>
          <w:tcPr>
            <w:tcW w:w="2434" w:type="dxa"/>
            <w:vMerge w:val="restart"/>
            <w:tcBorders>
              <w:top w:val="nil"/>
              <w:left w:val="nil"/>
              <w:bottom w:val="single" w:color="auto" w:sz="12" w:space="0"/>
              <w:right w:val="single" w:color="auto" w:sz="12" w:space="0"/>
            </w:tcBorders>
            <w:shd w:val="clear" w:color="auto" w:fill="FFFFFF"/>
            <w:tcMar>
              <w:top w:w="0" w:type="dxa"/>
              <w:left w:w="120" w:type="dxa"/>
              <w:bottom w:w="0" w:type="dxa"/>
              <w:right w:w="120" w:type="dxa"/>
            </w:tcMar>
            <w:vAlign w:val="center"/>
          </w:tcPr>
          <w:p>
            <w:pPr>
              <w:widowControl/>
              <w:spacing w:line="300" w:lineRule="exact"/>
              <w:jc w:val="center"/>
              <w:rPr>
                <w:rFonts w:ascii="Microsoft YaHei UI" w:hAnsi="Microsoft YaHei UI" w:eastAsia="Microsoft YaHei UI" w:cs="宋体"/>
                <w:color w:val="333333"/>
                <w:spacing w:val="8"/>
                <w:kern w:val="0"/>
                <w:szCs w:val="21"/>
              </w:rPr>
            </w:pPr>
            <w:r>
              <w:rPr>
                <w:rFonts w:hint="eastAsia" w:ascii="Microsoft YaHei UI" w:hAnsi="Microsoft YaHei UI" w:eastAsia="Microsoft YaHei UI" w:cs="宋体"/>
                <w:color w:val="000000"/>
                <w:spacing w:val="8"/>
                <w:kern w:val="0"/>
                <w:szCs w:val="21"/>
              </w:rPr>
              <w:t>A2.培养过程</w:t>
            </w:r>
          </w:p>
        </w:tc>
        <w:tc>
          <w:tcPr>
            <w:tcW w:w="3845" w:type="dxa"/>
            <w:tcBorders>
              <w:top w:val="nil"/>
              <w:left w:val="nil"/>
              <w:bottom w:val="single" w:color="auto" w:sz="12" w:space="0"/>
              <w:right w:val="single" w:color="auto" w:sz="12" w:space="0"/>
            </w:tcBorders>
            <w:shd w:val="clear" w:color="auto" w:fill="FFFFFF"/>
            <w:vAlign w:val="center"/>
          </w:tcPr>
          <w:p>
            <w:pPr>
              <w:widowControl/>
              <w:spacing w:line="300" w:lineRule="exact"/>
              <w:ind w:firstLine="225"/>
              <w:jc w:val="left"/>
              <w:rPr>
                <w:rFonts w:ascii="Microsoft YaHei UI" w:hAnsi="Microsoft YaHei UI" w:eastAsia="Microsoft YaHei UI" w:cs="宋体"/>
                <w:color w:val="333333"/>
                <w:spacing w:val="8"/>
                <w:kern w:val="0"/>
                <w:szCs w:val="21"/>
              </w:rPr>
            </w:pPr>
            <w:r>
              <w:rPr>
                <w:rFonts w:hint="eastAsia" w:ascii="Microsoft YaHei UI" w:hAnsi="Microsoft YaHei UI" w:eastAsia="Microsoft YaHei UI" w:cs="宋体"/>
                <w:color w:val="000000"/>
                <w:spacing w:val="8"/>
                <w:kern w:val="0"/>
                <w:szCs w:val="21"/>
              </w:rPr>
              <w:t>S2.出版教材质量</w:t>
            </w:r>
          </w:p>
        </w:tc>
      </w:tr>
      <w:tr>
        <w:tblPrEx>
          <w:tblCellMar>
            <w:top w:w="0" w:type="dxa"/>
            <w:left w:w="0" w:type="dxa"/>
            <w:bottom w:w="0" w:type="dxa"/>
            <w:right w:w="0" w:type="dxa"/>
          </w:tblCellMar>
        </w:tblPrEx>
        <w:trPr>
          <w:trHeight w:val="420" w:hRule="atLeast"/>
          <w:jc w:val="center"/>
        </w:trPr>
        <w:tc>
          <w:tcPr>
            <w:tcW w:w="0" w:type="auto"/>
            <w:vMerge w:val="continue"/>
            <w:tcBorders>
              <w:top w:val="nil"/>
              <w:left w:val="single" w:color="auto" w:sz="12" w:space="0"/>
              <w:bottom w:val="single" w:color="auto" w:sz="12" w:space="0"/>
              <w:right w:val="single" w:color="auto" w:sz="12" w:space="0"/>
            </w:tcBorders>
            <w:shd w:val="clear" w:color="auto" w:fill="FFFFFF"/>
            <w:vAlign w:val="center"/>
          </w:tcPr>
          <w:p>
            <w:pPr>
              <w:widowControl/>
              <w:jc w:val="left"/>
              <w:rPr>
                <w:rFonts w:ascii="Microsoft YaHei UI" w:hAnsi="Microsoft YaHei UI" w:eastAsia="Microsoft YaHei UI" w:cs="宋体"/>
                <w:color w:val="333333"/>
                <w:spacing w:val="8"/>
                <w:kern w:val="0"/>
                <w:szCs w:val="21"/>
              </w:rPr>
            </w:pPr>
          </w:p>
        </w:tc>
        <w:tc>
          <w:tcPr>
            <w:tcW w:w="0" w:type="auto"/>
            <w:vMerge w:val="continue"/>
            <w:tcBorders>
              <w:top w:val="nil"/>
              <w:left w:val="nil"/>
              <w:bottom w:val="single" w:color="auto" w:sz="12" w:space="0"/>
              <w:right w:val="single" w:color="auto" w:sz="12" w:space="0"/>
            </w:tcBorders>
            <w:shd w:val="clear" w:color="auto" w:fill="FFFFFF"/>
            <w:vAlign w:val="center"/>
          </w:tcPr>
          <w:p>
            <w:pPr>
              <w:widowControl/>
              <w:spacing w:line="300" w:lineRule="exact"/>
              <w:jc w:val="left"/>
              <w:rPr>
                <w:rFonts w:ascii="Microsoft YaHei UI" w:hAnsi="Microsoft YaHei UI" w:eastAsia="Microsoft YaHei UI" w:cs="宋体"/>
                <w:color w:val="333333"/>
                <w:spacing w:val="8"/>
                <w:kern w:val="0"/>
                <w:szCs w:val="21"/>
              </w:rPr>
            </w:pPr>
          </w:p>
        </w:tc>
        <w:tc>
          <w:tcPr>
            <w:tcW w:w="3845" w:type="dxa"/>
            <w:tcBorders>
              <w:top w:val="nil"/>
              <w:left w:val="nil"/>
              <w:bottom w:val="single" w:color="auto" w:sz="12" w:space="0"/>
              <w:right w:val="single" w:color="auto" w:sz="12" w:space="0"/>
            </w:tcBorders>
            <w:shd w:val="clear" w:color="auto" w:fill="FFFFFF"/>
            <w:vAlign w:val="center"/>
          </w:tcPr>
          <w:p>
            <w:pPr>
              <w:widowControl/>
              <w:spacing w:line="300" w:lineRule="exact"/>
              <w:ind w:firstLine="225"/>
              <w:jc w:val="left"/>
              <w:rPr>
                <w:rFonts w:ascii="Microsoft YaHei UI" w:hAnsi="Microsoft YaHei UI" w:eastAsia="Microsoft YaHei UI" w:cs="宋体"/>
                <w:color w:val="333333"/>
                <w:spacing w:val="8"/>
                <w:kern w:val="0"/>
                <w:szCs w:val="21"/>
              </w:rPr>
            </w:pPr>
            <w:r>
              <w:rPr>
                <w:rFonts w:hint="eastAsia" w:ascii="Microsoft YaHei UI" w:hAnsi="Microsoft YaHei UI" w:eastAsia="Microsoft YaHei UI" w:cs="宋体"/>
                <w:color w:val="000000"/>
                <w:spacing w:val="8"/>
                <w:kern w:val="0"/>
                <w:szCs w:val="21"/>
              </w:rPr>
              <w:t>S3.课程建设与教学质量</w:t>
            </w:r>
          </w:p>
        </w:tc>
      </w:tr>
      <w:tr>
        <w:tblPrEx>
          <w:tblCellMar>
            <w:top w:w="0" w:type="dxa"/>
            <w:left w:w="0" w:type="dxa"/>
            <w:bottom w:w="0" w:type="dxa"/>
            <w:right w:w="0" w:type="dxa"/>
          </w:tblCellMar>
        </w:tblPrEx>
        <w:trPr>
          <w:trHeight w:val="420" w:hRule="atLeast"/>
          <w:jc w:val="center"/>
        </w:trPr>
        <w:tc>
          <w:tcPr>
            <w:tcW w:w="0" w:type="auto"/>
            <w:vMerge w:val="continue"/>
            <w:tcBorders>
              <w:top w:val="nil"/>
              <w:left w:val="single" w:color="auto" w:sz="12" w:space="0"/>
              <w:bottom w:val="single" w:color="auto" w:sz="12" w:space="0"/>
              <w:right w:val="single" w:color="auto" w:sz="12" w:space="0"/>
            </w:tcBorders>
            <w:shd w:val="clear" w:color="auto" w:fill="FFFFFF"/>
            <w:vAlign w:val="center"/>
          </w:tcPr>
          <w:p>
            <w:pPr>
              <w:widowControl/>
              <w:jc w:val="left"/>
              <w:rPr>
                <w:rFonts w:ascii="Microsoft YaHei UI" w:hAnsi="Microsoft YaHei UI" w:eastAsia="Microsoft YaHei UI" w:cs="宋体"/>
                <w:color w:val="333333"/>
                <w:spacing w:val="8"/>
                <w:kern w:val="0"/>
                <w:szCs w:val="21"/>
              </w:rPr>
            </w:pPr>
          </w:p>
        </w:tc>
        <w:tc>
          <w:tcPr>
            <w:tcW w:w="0" w:type="auto"/>
            <w:vMerge w:val="continue"/>
            <w:tcBorders>
              <w:top w:val="nil"/>
              <w:left w:val="nil"/>
              <w:bottom w:val="single" w:color="auto" w:sz="12" w:space="0"/>
              <w:right w:val="single" w:color="auto" w:sz="12" w:space="0"/>
            </w:tcBorders>
            <w:shd w:val="clear" w:color="auto" w:fill="FFFFFF"/>
            <w:vAlign w:val="center"/>
          </w:tcPr>
          <w:p>
            <w:pPr>
              <w:widowControl/>
              <w:spacing w:line="300" w:lineRule="exact"/>
              <w:jc w:val="left"/>
              <w:rPr>
                <w:rFonts w:ascii="Microsoft YaHei UI" w:hAnsi="Microsoft YaHei UI" w:eastAsia="Microsoft YaHei UI" w:cs="宋体"/>
                <w:color w:val="333333"/>
                <w:spacing w:val="8"/>
                <w:kern w:val="0"/>
                <w:szCs w:val="21"/>
              </w:rPr>
            </w:pPr>
          </w:p>
        </w:tc>
        <w:tc>
          <w:tcPr>
            <w:tcW w:w="3845" w:type="dxa"/>
            <w:tcBorders>
              <w:top w:val="nil"/>
              <w:left w:val="nil"/>
              <w:bottom w:val="single" w:color="auto" w:sz="12" w:space="0"/>
              <w:right w:val="single" w:color="auto" w:sz="12" w:space="0"/>
            </w:tcBorders>
            <w:shd w:val="clear" w:color="auto" w:fill="FFFFFF"/>
            <w:vAlign w:val="center"/>
          </w:tcPr>
          <w:p>
            <w:pPr>
              <w:widowControl/>
              <w:spacing w:line="300" w:lineRule="exact"/>
              <w:ind w:firstLine="225"/>
              <w:jc w:val="left"/>
              <w:rPr>
                <w:rFonts w:ascii="Microsoft YaHei UI" w:hAnsi="Microsoft YaHei UI" w:eastAsia="Microsoft YaHei UI" w:cs="宋体"/>
                <w:color w:val="333333"/>
                <w:spacing w:val="8"/>
                <w:kern w:val="0"/>
                <w:szCs w:val="21"/>
              </w:rPr>
            </w:pPr>
            <w:r>
              <w:rPr>
                <w:rFonts w:hint="eastAsia" w:ascii="Microsoft YaHei UI" w:hAnsi="Microsoft YaHei UI" w:eastAsia="Microsoft YaHei UI" w:cs="宋体"/>
                <w:color w:val="333333"/>
                <w:spacing w:val="8"/>
                <w:kern w:val="0"/>
                <w:szCs w:val="21"/>
              </w:rPr>
              <w:t>S4.科研育人成效</w:t>
            </w:r>
          </w:p>
        </w:tc>
      </w:tr>
      <w:tr>
        <w:tblPrEx>
          <w:shd w:val="clear" w:color="auto" w:fill="FFFFFF"/>
          <w:tblCellMar>
            <w:top w:w="0" w:type="dxa"/>
            <w:left w:w="0" w:type="dxa"/>
            <w:bottom w:w="0" w:type="dxa"/>
            <w:right w:w="0" w:type="dxa"/>
          </w:tblCellMar>
        </w:tblPrEx>
        <w:trPr>
          <w:trHeight w:val="420" w:hRule="atLeast"/>
          <w:jc w:val="center"/>
        </w:trPr>
        <w:tc>
          <w:tcPr>
            <w:tcW w:w="0" w:type="auto"/>
            <w:vMerge w:val="continue"/>
            <w:tcBorders>
              <w:top w:val="nil"/>
              <w:left w:val="single" w:color="auto" w:sz="12" w:space="0"/>
              <w:bottom w:val="single" w:color="auto" w:sz="12" w:space="0"/>
              <w:right w:val="single" w:color="auto" w:sz="12" w:space="0"/>
            </w:tcBorders>
            <w:shd w:val="clear" w:color="auto" w:fill="FFFFFF"/>
            <w:vAlign w:val="center"/>
          </w:tcPr>
          <w:p>
            <w:pPr>
              <w:widowControl/>
              <w:jc w:val="left"/>
              <w:rPr>
                <w:rFonts w:ascii="Microsoft YaHei UI" w:hAnsi="Microsoft YaHei UI" w:eastAsia="Microsoft YaHei UI" w:cs="宋体"/>
                <w:color w:val="333333"/>
                <w:spacing w:val="8"/>
                <w:kern w:val="0"/>
                <w:szCs w:val="21"/>
              </w:rPr>
            </w:pPr>
          </w:p>
        </w:tc>
        <w:tc>
          <w:tcPr>
            <w:tcW w:w="0" w:type="auto"/>
            <w:vMerge w:val="continue"/>
            <w:tcBorders>
              <w:top w:val="nil"/>
              <w:left w:val="nil"/>
              <w:bottom w:val="single" w:color="auto" w:sz="12" w:space="0"/>
              <w:right w:val="single" w:color="auto" w:sz="12" w:space="0"/>
            </w:tcBorders>
            <w:shd w:val="clear" w:color="auto" w:fill="FFFFFF"/>
            <w:vAlign w:val="center"/>
          </w:tcPr>
          <w:p>
            <w:pPr>
              <w:widowControl/>
              <w:spacing w:line="300" w:lineRule="exact"/>
              <w:jc w:val="left"/>
              <w:rPr>
                <w:rFonts w:ascii="Microsoft YaHei UI" w:hAnsi="Microsoft YaHei UI" w:eastAsia="Microsoft YaHei UI" w:cs="宋体"/>
                <w:color w:val="333333"/>
                <w:spacing w:val="8"/>
                <w:kern w:val="0"/>
                <w:szCs w:val="21"/>
              </w:rPr>
            </w:pPr>
          </w:p>
        </w:tc>
        <w:tc>
          <w:tcPr>
            <w:tcW w:w="3845" w:type="dxa"/>
            <w:tcBorders>
              <w:top w:val="nil"/>
              <w:left w:val="nil"/>
              <w:bottom w:val="single" w:color="auto" w:sz="12" w:space="0"/>
              <w:right w:val="single" w:color="auto" w:sz="12" w:space="0"/>
            </w:tcBorders>
            <w:shd w:val="clear" w:color="auto" w:fill="FFFFFF"/>
            <w:vAlign w:val="center"/>
          </w:tcPr>
          <w:p>
            <w:pPr>
              <w:widowControl/>
              <w:spacing w:line="300" w:lineRule="exact"/>
              <w:ind w:firstLine="225"/>
              <w:jc w:val="left"/>
              <w:rPr>
                <w:rFonts w:ascii="Microsoft YaHei UI" w:hAnsi="Microsoft YaHei UI" w:eastAsia="Microsoft YaHei UI" w:cs="宋体"/>
                <w:color w:val="333333"/>
                <w:spacing w:val="8"/>
                <w:kern w:val="0"/>
                <w:szCs w:val="21"/>
              </w:rPr>
            </w:pPr>
            <w:r>
              <w:rPr>
                <w:rFonts w:hint="eastAsia" w:ascii="Microsoft YaHei UI" w:hAnsi="Microsoft YaHei UI" w:eastAsia="Microsoft YaHei UI" w:cs="宋体"/>
                <w:color w:val="333333"/>
                <w:spacing w:val="8"/>
                <w:kern w:val="0"/>
                <w:szCs w:val="21"/>
              </w:rPr>
              <w:t>S5.学生国际交流情况</w:t>
            </w:r>
          </w:p>
        </w:tc>
      </w:tr>
      <w:tr>
        <w:tblPrEx>
          <w:tblCellMar>
            <w:top w:w="0" w:type="dxa"/>
            <w:left w:w="0" w:type="dxa"/>
            <w:bottom w:w="0" w:type="dxa"/>
            <w:right w:w="0" w:type="dxa"/>
          </w:tblCellMar>
        </w:tblPrEx>
        <w:trPr>
          <w:trHeight w:val="420" w:hRule="atLeast"/>
          <w:jc w:val="center"/>
        </w:trPr>
        <w:tc>
          <w:tcPr>
            <w:tcW w:w="0" w:type="auto"/>
            <w:vMerge w:val="continue"/>
            <w:tcBorders>
              <w:top w:val="nil"/>
              <w:left w:val="single" w:color="auto" w:sz="12" w:space="0"/>
              <w:bottom w:val="single" w:color="auto" w:sz="12" w:space="0"/>
              <w:right w:val="single" w:color="auto" w:sz="12" w:space="0"/>
            </w:tcBorders>
            <w:shd w:val="clear" w:color="auto" w:fill="FFFFFF"/>
            <w:vAlign w:val="center"/>
          </w:tcPr>
          <w:p>
            <w:pPr>
              <w:widowControl/>
              <w:jc w:val="left"/>
              <w:rPr>
                <w:rFonts w:ascii="Microsoft YaHei UI" w:hAnsi="Microsoft YaHei UI" w:eastAsia="Microsoft YaHei UI" w:cs="宋体"/>
                <w:color w:val="333333"/>
                <w:spacing w:val="8"/>
                <w:kern w:val="0"/>
                <w:szCs w:val="21"/>
              </w:rPr>
            </w:pPr>
          </w:p>
        </w:tc>
        <w:tc>
          <w:tcPr>
            <w:tcW w:w="2434" w:type="dxa"/>
            <w:vMerge w:val="restart"/>
            <w:tcBorders>
              <w:top w:val="nil"/>
              <w:left w:val="nil"/>
              <w:bottom w:val="single" w:color="auto" w:sz="12" w:space="0"/>
              <w:right w:val="single" w:color="auto" w:sz="12" w:space="0"/>
            </w:tcBorders>
            <w:shd w:val="clear" w:color="auto" w:fill="FFFFFF"/>
            <w:tcMar>
              <w:top w:w="0" w:type="dxa"/>
              <w:left w:w="120" w:type="dxa"/>
              <w:bottom w:w="0" w:type="dxa"/>
              <w:right w:w="120" w:type="dxa"/>
            </w:tcMar>
            <w:vAlign w:val="center"/>
          </w:tcPr>
          <w:p>
            <w:pPr>
              <w:widowControl/>
              <w:spacing w:line="300" w:lineRule="exact"/>
              <w:jc w:val="center"/>
              <w:rPr>
                <w:rFonts w:ascii="Microsoft YaHei UI" w:hAnsi="Microsoft YaHei UI" w:eastAsia="Microsoft YaHei UI" w:cs="宋体"/>
                <w:color w:val="333333"/>
                <w:spacing w:val="8"/>
                <w:kern w:val="0"/>
                <w:szCs w:val="21"/>
              </w:rPr>
            </w:pPr>
            <w:r>
              <w:rPr>
                <w:rFonts w:hint="eastAsia" w:ascii="Microsoft YaHei UI" w:hAnsi="Microsoft YaHei UI" w:eastAsia="Microsoft YaHei UI" w:cs="宋体"/>
                <w:color w:val="000000"/>
                <w:spacing w:val="8"/>
                <w:kern w:val="0"/>
                <w:szCs w:val="21"/>
              </w:rPr>
              <w:t>A3.在校生</w:t>
            </w:r>
          </w:p>
        </w:tc>
        <w:tc>
          <w:tcPr>
            <w:tcW w:w="3845" w:type="dxa"/>
            <w:tcBorders>
              <w:top w:val="nil"/>
              <w:left w:val="nil"/>
              <w:bottom w:val="single" w:color="auto" w:sz="12" w:space="0"/>
              <w:right w:val="single" w:color="auto" w:sz="12" w:space="0"/>
            </w:tcBorders>
            <w:shd w:val="clear" w:color="auto" w:fill="FFFFFF"/>
            <w:vAlign w:val="center"/>
          </w:tcPr>
          <w:p>
            <w:pPr>
              <w:widowControl/>
              <w:spacing w:line="300" w:lineRule="exact"/>
              <w:ind w:firstLine="225"/>
              <w:jc w:val="left"/>
              <w:rPr>
                <w:rFonts w:ascii="Microsoft YaHei UI" w:hAnsi="Microsoft YaHei UI" w:eastAsia="Microsoft YaHei UI" w:cs="宋体"/>
                <w:color w:val="333333"/>
                <w:spacing w:val="8"/>
                <w:kern w:val="0"/>
                <w:szCs w:val="21"/>
              </w:rPr>
            </w:pPr>
            <w:r>
              <w:rPr>
                <w:rFonts w:hint="eastAsia" w:ascii="Microsoft YaHei UI" w:hAnsi="Microsoft YaHei UI" w:eastAsia="Microsoft YaHei UI" w:cs="宋体"/>
                <w:color w:val="333333"/>
                <w:spacing w:val="8"/>
                <w:kern w:val="0"/>
                <w:szCs w:val="21"/>
              </w:rPr>
              <w:t>S6.在校生代表性成果</w:t>
            </w:r>
          </w:p>
        </w:tc>
      </w:tr>
      <w:tr>
        <w:tblPrEx>
          <w:tblCellMar>
            <w:top w:w="0" w:type="dxa"/>
            <w:left w:w="0" w:type="dxa"/>
            <w:bottom w:w="0" w:type="dxa"/>
            <w:right w:w="0" w:type="dxa"/>
          </w:tblCellMar>
        </w:tblPrEx>
        <w:trPr>
          <w:trHeight w:val="420" w:hRule="atLeast"/>
          <w:jc w:val="center"/>
        </w:trPr>
        <w:tc>
          <w:tcPr>
            <w:tcW w:w="0" w:type="auto"/>
            <w:vMerge w:val="continue"/>
            <w:tcBorders>
              <w:top w:val="nil"/>
              <w:left w:val="single" w:color="auto" w:sz="12" w:space="0"/>
              <w:bottom w:val="single" w:color="auto" w:sz="12" w:space="0"/>
              <w:right w:val="single" w:color="auto" w:sz="12" w:space="0"/>
            </w:tcBorders>
            <w:shd w:val="clear" w:color="auto" w:fill="FFFFFF"/>
            <w:vAlign w:val="center"/>
          </w:tcPr>
          <w:p>
            <w:pPr>
              <w:widowControl/>
              <w:jc w:val="left"/>
              <w:rPr>
                <w:rFonts w:ascii="Microsoft YaHei UI" w:hAnsi="Microsoft YaHei UI" w:eastAsia="Microsoft YaHei UI" w:cs="宋体"/>
                <w:color w:val="333333"/>
                <w:spacing w:val="8"/>
                <w:kern w:val="0"/>
                <w:szCs w:val="21"/>
              </w:rPr>
            </w:pPr>
          </w:p>
        </w:tc>
        <w:tc>
          <w:tcPr>
            <w:tcW w:w="0" w:type="auto"/>
            <w:vMerge w:val="continue"/>
            <w:tcBorders>
              <w:top w:val="nil"/>
              <w:left w:val="nil"/>
              <w:bottom w:val="single" w:color="auto" w:sz="12" w:space="0"/>
              <w:right w:val="single" w:color="auto" w:sz="12" w:space="0"/>
            </w:tcBorders>
            <w:shd w:val="clear" w:color="auto" w:fill="FFFFFF"/>
            <w:vAlign w:val="center"/>
          </w:tcPr>
          <w:p>
            <w:pPr>
              <w:widowControl/>
              <w:spacing w:line="300" w:lineRule="exact"/>
              <w:jc w:val="left"/>
              <w:rPr>
                <w:rFonts w:ascii="Microsoft YaHei UI" w:hAnsi="Microsoft YaHei UI" w:eastAsia="Microsoft YaHei UI" w:cs="宋体"/>
                <w:color w:val="333333"/>
                <w:spacing w:val="8"/>
                <w:kern w:val="0"/>
                <w:szCs w:val="21"/>
              </w:rPr>
            </w:pPr>
          </w:p>
        </w:tc>
        <w:tc>
          <w:tcPr>
            <w:tcW w:w="3845" w:type="dxa"/>
            <w:tcBorders>
              <w:top w:val="nil"/>
              <w:left w:val="nil"/>
              <w:bottom w:val="single" w:color="auto" w:sz="12" w:space="0"/>
              <w:right w:val="single" w:color="auto" w:sz="12" w:space="0"/>
            </w:tcBorders>
            <w:shd w:val="clear" w:color="auto" w:fill="FFFFFF"/>
            <w:vAlign w:val="center"/>
          </w:tcPr>
          <w:p>
            <w:pPr>
              <w:widowControl/>
              <w:spacing w:line="300" w:lineRule="exact"/>
              <w:ind w:firstLine="225"/>
              <w:jc w:val="left"/>
              <w:rPr>
                <w:rFonts w:ascii="Microsoft YaHei UI" w:hAnsi="Microsoft YaHei UI" w:eastAsia="Microsoft YaHei UI" w:cs="宋体"/>
                <w:color w:val="333333"/>
                <w:spacing w:val="8"/>
                <w:kern w:val="0"/>
                <w:szCs w:val="21"/>
              </w:rPr>
            </w:pPr>
            <w:r>
              <w:rPr>
                <w:rFonts w:hint="eastAsia" w:ascii="Microsoft YaHei UI" w:hAnsi="Microsoft YaHei UI" w:eastAsia="Microsoft YaHei UI" w:cs="宋体"/>
                <w:color w:val="333333"/>
                <w:spacing w:val="8"/>
                <w:kern w:val="0"/>
                <w:szCs w:val="21"/>
              </w:rPr>
              <w:t>S7.学位论文质量</w:t>
            </w:r>
          </w:p>
        </w:tc>
      </w:tr>
      <w:tr>
        <w:tblPrEx>
          <w:shd w:val="clear" w:color="auto" w:fill="FFFFFF"/>
          <w:tblCellMar>
            <w:top w:w="0" w:type="dxa"/>
            <w:left w:w="0" w:type="dxa"/>
            <w:bottom w:w="0" w:type="dxa"/>
            <w:right w:w="0" w:type="dxa"/>
          </w:tblCellMar>
        </w:tblPrEx>
        <w:trPr>
          <w:trHeight w:val="420" w:hRule="atLeast"/>
          <w:jc w:val="center"/>
        </w:trPr>
        <w:tc>
          <w:tcPr>
            <w:tcW w:w="0" w:type="auto"/>
            <w:vMerge w:val="continue"/>
            <w:tcBorders>
              <w:top w:val="nil"/>
              <w:left w:val="single" w:color="auto" w:sz="12" w:space="0"/>
              <w:bottom w:val="single" w:color="auto" w:sz="12" w:space="0"/>
              <w:right w:val="single" w:color="auto" w:sz="12" w:space="0"/>
            </w:tcBorders>
            <w:shd w:val="clear" w:color="auto" w:fill="FFFFFF"/>
            <w:vAlign w:val="center"/>
          </w:tcPr>
          <w:p>
            <w:pPr>
              <w:widowControl/>
              <w:jc w:val="left"/>
              <w:rPr>
                <w:rFonts w:ascii="Microsoft YaHei UI" w:hAnsi="Microsoft YaHei UI" w:eastAsia="Microsoft YaHei UI" w:cs="宋体"/>
                <w:color w:val="333333"/>
                <w:spacing w:val="8"/>
                <w:kern w:val="0"/>
                <w:szCs w:val="21"/>
              </w:rPr>
            </w:pPr>
          </w:p>
        </w:tc>
        <w:tc>
          <w:tcPr>
            <w:tcW w:w="2434" w:type="dxa"/>
            <w:vMerge w:val="restart"/>
            <w:tcBorders>
              <w:top w:val="nil"/>
              <w:left w:val="nil"/>
              <w:bottom w:val="single" w:color="auto" w:sz="12" w:space="0"/>
              <w:right w:val="single" w:color="auto" w:sz="12" w:space="0"/>
            </w:tcBorders>
            <w:shd w:val="clear" w:color="auto" w:fill="FFFFFF"/>
            <w:tcMar>
              <w:top w:w="0" w:type="dxa"/>
              <w:left w:w="120" w:type="dxa"/>
              <w:bottom w:w="0" w:type="dxa"/>
              <w:right w:w="120" w:type="dxa"/>
            </w:tcMar>
            <w:vAlign w:val="center"/>
          </w:tcPr>
          <w:p>
            <w:pPr>
              <w:widowControl/>
              <w:spacing w:line="300" w:lineRule="exact"/>
              <w:jc w:val="center"/>
              <w:rPr>
                <w:rFonts w:ascii="Microsoft YaHei UI" w:hAnsi="Microsoft YaHei UI" w:eastAsia="Microsoft YaHei UI" w:cs="宋体"/>
                <w:color w:val="333333"/>
                <w:spacing w:val="8"/>
                <w:kern w:val="0"/>
                <w:szCs w:val="21"/>
              </w:rPr>
            </w:pPr>
            <w:r>
              <w:rPr>
                <w:rFonts w:hint="eastAsia" w:ascii="Microsoft YaHei UI" w:hAnsi="Microsoft YaHei UI" w:eastAsia="Microsoft YaHei UI" w:cs="宋体"/>
                <w:color w:val="000000"/>
                <w:spacing w:val="8"/>
                <w:kern w:val="0"/>
                <w:szCs w:val="21"/>
              </w:rPr>
              <w:t>A4.毕业生</w:t>
            </w:r>
          </w:p>
        </w:tc>
        <w:tc>
          <w:tcPr>
            <w:tcW w:w="3845" w:type="dxa"/>
            <w:tcBorders>
              <w:top w:val="nil"/>
              <w:left w:val="nil"/>
              <w:bottom w:val="single" w:color="auto" w:sz="12" w:space="0"/>
              <w:right w:val="single" w:color="auto" w:sz="12" w:space="0"/>
            </w:tcBorders>
            <w:shd w:val="clear" w:color="auto" w:fill="FFFFFF"/>
            <w:vAlign w:val="center"/>
          </w:tcPr>
          <w:p>
            <w:pPr>
              <w:widowControl/>
              <w:spacing w:line="300" w:lineRule="exact"/>
              <w:ind w:firstLine="225"/>
              <w:jc w:val="left"/>
              <w:rPr>
                <w:rFonts w:ascii="Microsoft YaHei UI" w:hAnsi="Microsoft YaHei UI" w:eastAsia="Microsoft YaHei UI" w:cs="宋体"/>
                <w:color w:val="333333"/>
                <w:spacing w:val="8"/>
                <w:kern w:val="0"/>
                <w:szCs w:val="21"/>
              </w:rPr>
            </w:pPr>
            <w:r>
              <w:rPr>
                <w:rFonts w:hint="eastAsia" w:ascii="Microsoft YaHei UI" w:hAnsi="Microsoft YaHei UI" w:eastAsia="Microsoft YaHei UI" w:cs="宋体"/>
                <w:color w:val="000000"/>
                <w:spacing w:val="8"/>
                <w:kern w:val="0"/>
                <w:szCs w:val="21"/>
              </w:rPr>
              <w:t>S8.学生就业与职业发展质量</w:t>
            </w:r>
          </w:p>
        </w:tc>
      </w:tr>
      <w:tr>
        <w:tblPrEx>
          <w:shd w:val="clear" w:color="auto" w:fill="FFFFFF"/>
          <w:tblCellMar>
            <w:top w:w="0" w:type="dxa"/>
            <w:left w:w="0" w:type="dxa"/>
            <w:bottom w:w="0" w:type="dxa"/>
            <w:right w:w="0" w:type="dxa"/>
          </w:tblCellMar>
        </w:tblPrEx>
        <w:trPr>
          <w:trHeight w:val="420" w:hRule="atLeast"/>
          <w:jc w:val="center"/>
        </w:trPr>
        <w:tc>
          <w:tcPr>
            <w:tcW w:w="0" w:type="auto"/>
            <w:vMerge w:val="continue"/>
            <w:tcBorders>
              <w:top w:val="nil"/>
              <w:left w:val="single" w:color="auto" w:sz="12" w:space="0"/>
              <w:bottom w:val="single" w:color="auto" w:sz="12" w:space="0"/>
              <w:right w:val="single" w:color="auto" w:sz="12" w:space="0"/>
            </w:tcBorders>
            <w:shd w:val="clear" w:color="auto" w:fill="FFFFFF"/>
            <w:vAlign w:val="center"/>
          </w:tcPr>
          <w:p>
            <w:pPr>
              <w:widowControl/>
              <w:jc w:val="left"/>
              <w:rPr>
                <w:rFonts w:ascii="Microsoft YaHei UI" w:hAnsi="Microsoft YaHei UI" w:eastAsia="Microsoft YaHei UI" w:cs="宋体"/>
                <w:color w:val="333333"/>
                <w:spacing w:val="8"/>
                <w:kern w:val="0"/>
                <w:szCs w:val="21"/>
              </w:rPr>
            </w:pPr>
          </w:p>
        </w:tc>
        <w:tc>
          <w:tcPr>
            <w:tcW w:w="0" w:type="auto"/>
            <w:vMerge w:val="continue"/>
            <w:tcBorders>
              <w:top w:val="nil"/>
              <w:left w:val="nil"/>
              <w:bottom w:val="single" w:color="auto" w:sz="12" w:space="0"/>
              <w:right w:val="single" w:color="auto" w:sz="12" w:space="0"/>
            </w:tcBorders>
            <w:shd w:val="clear" w:color="auto" w:fill="FFFFFF"/>
            <w:vAlign w:val="center"/>
          </w:tcPr>
          <w:p>
            <w:pPr>
              <w:widowControl/>
              <w:spacing w:line="300" w:lineRule="exact"/>
              <w:jc w:val="left"/>
              <w:rPr>
                <w:rFonts w:ascii="Microsoft YaHei UI" w:hAnsi="Microsoft YaHei UI" w:eastAsia="Microsoft YaHei UI" w:cs="宋体"/>
                <w:color w:val="333333"/>
                <w:spacing w:val="8"/>
                <w:kern w:val="0"/>
                <w:szCs w:val="21"/>
              </w:rPr>
            </w:pPr>
          </w:p>
        </w:tc>
        <w:tc>
          <w:tcPr>
            <w:tcW w:w="3845" w:type="dxa"/>
            <w:tcBorders>
              <w:top w:val="nil"/>
              <w:left w:val="nil"/>
              <w:bottom w:val="single" w:color="auto" w:sz="12" w:space="0"/>
              <w:right w:val="single" w:color="auto" w:sz="12" w:space="0"/>
            </w:tcBorders>
            <w:shd w:val="clear" w:color="auto" w:fill="FFFFFF"/>
            <w:vAlign w:val="center"/>
          </w:tcPr>
          <w:p>
            <w:pPr>
              <w:widowControl/>
              <w:spacing w:line="300" w:lineRule="exact"/>
              <w:ind w:firstLine="225"/>
              <w:jc w:val="left"/>
              <w:rPr>
                <w:rFonts w:ascii="Microsoft YaHei UI" w:hAnsi="Microsoft YaHei UI" w:eastAsia="Microsoft YaHei UI" w:cs="宋体"/>
                <w:color w:val="333333"/>
                <w:spacing w:val="8"/>
                <w:kern w:val="0"/>
                <w:szCs w:val="21"/>
              </w:rPr>
            </w:pPr>
            <w:r>
              <w:rPr>
                <w:rFonts w:hint="eastAsia" w:ascii="Microsoft YaHei UI" w:hAnsi="Microsoft YaHei UI" w:eastAsia="Microsoft YaHei UI" w:cs="宋体"/>
                <w:color w:val="000000"/>
                <w:spacing w:val="8"/>
                <w:kern w:val="0"/>
                <w:szCs w:val="21"/>
              </w:rPr>
              <w:t>S9.用人单位评价</w:t>
            </w:r>
            <w:r>
              <w:rPr>
                <w:rFonts w:hint="eastAsia" w:ascii="楷体_GB2312" w:hAnsi="Microsoft YaHei UI" w:eastAsia="楷体_GB2312" w:cs="宋体"/>
                <w:color w:val="333333"/>
                <w:spacing w:val="8"/>
                <w:kern w:val="0"/>
                <w:szCs w:val="21"/>
              </w:rPr>
              <w:t>（部分学科）</w:t>
            </w:r>
          </w:p>
        </w:tc>
      </w:tr>
      <w:tr>
        <w:tblPrEx>
          <w:shd w:val="clear" w:color="auto" w:fill="FFFFFF"/>
          <w:tblCellMar>
            <w:top w:w="0" w:type="dxa"/>
            <w:left w:w="0" w:type="dxa"/>
            <w:bottom w:w="0" w:type="dxa"/>
            <w:right w:w="0" w:type="dxa"/>
          </w:tblCellMar>
        </w:tblPrEx>
        <w:trPr>
          <w:trHeight w:val="420" w:hRule="atLeast"/>
          <w:jc w:val="center"/>
        </w:trPr>
        <w:tc>
          <w:tcPr>
            <w:tcW w:w="1881" w:type="dxa"/>
            <w:vMerge w:val="restart"/>
            <w:tcBorders>
              <w:top w:val="nil"/>
              <w:left w:val="single" w:color="auto" w:sz="12" w:space="0"/>
              <w:bottom w:val="single" w:color="auto" w:sz="12" w:space="0"/>
              <w:right w:val="single" w:color="auto" w:sz="12" w:space="0"/>
            </w:tcBorders>
            <w:shd w:val="clear" w:color="auto" w:fill="FFFFFF"/>
            <w:vAlign w:val="center"/>
          </w:tcPr>
          <w:p>
            <w:pPr>
              <w:widowControl/>
              <w:wordWrap w:val="0"/>
              <w:spacing w:line="300" w:lineRule="exact"/>
              <w:jc w:val="center"/>
              <w:rPr>
                <w:rFonts w:hint="eastAsia" w:ascii="Microsoft YaHei UI" w:hAnsi="Microsoft YaHei UI" w:eastAsia="Microsoft YaHei UI" w:cs="宋体"/>
                <w:color w:val="333333"/>
                <w:spacing w:val="8"/>
                <w:kern w:val="0"/>
                <w:szCs w:val="21"/>
              </w:rPr>
            </w:pPr>
            <w:r>
              <w:rPr>
                <w:rFonts w:hint="eastAsia" w:ascii="Microsoft YaHei UI" w:hAnsi="Microsoft YaHei UI" w:eastAsia="Microsoft YaHei UI" w:cs="宋体"/>
                <w:b/>
                <w:bCs/>
                <w:color w:val="000000"/>
                <w:spacing w:val="8"/>
                <w:kern w:val="0"/>
                <w:szCs w:val="21"/>
              </w:rPr>
              <w:t>B.</w:t>
            </w:r>
          </w:p>
          <w:p>
            <w:pPr>
              <w:widowControl/>
              <w:wordWrap w:val="0"/>
              <w:spacing w:line="300" w:lineRule="exact"/>
              <w:jc w:val="center"/>
              <w:rPr>
                <w:rFonts w:hint="eastAsia" w:ascii="Microsoft YaHei UI" w:hAnsi="Microsoft YaHei UI" w:eastAsia="Microsoft YaHei UI" w:cs="宋体"/>
                <w:color w:val="333333"/>
                <w:spacing w:val="8"/>
                <w:kern w:val="0"/>
                <w:szCs w:val="21"/>
              </w:rPr>
            </w:pPr>
            <w:r>
              <w:rPr>
                <w:rFonts w:hint="eastAsia" w:ascii="Microsoft YaHei UI" w:hAnsi="Microsoft YaHei UI" w:eastAsia="Microsoft YaHei UI" w:cs="宋体"/>
                <w:b/>
                <w:bCs/>
                <w:color w:val="000000"/>
                <w:spacing w:val="8"/>
                <w:kern w:val="0"/>
                <w:szCs w:val="21"/>
              </w:rPr>
              <w:t>师资队伍</w:t>
            </w:r>
          </w:p>
          <w:p>
            <w:pPr>
              <w:widowControl/>
              <w:wordWrap w:val="0"/>
              <w:spacing w:line="300" w:lineRule="exact"/>
              <w:jc w:val="center"/>
              <w:rPr>
                <w:rFonts w:ascii="Microsoft YaHei UI" w:hAnsi="Microsoft YaHei UI" w:eastAsia="Microsoft YaHei UI" w:cs="宋体"/>
                <w:color w:val="333333"/>
                <w:spacing w:val="8"/>
                <w:kern w:val="0"/>
                <w:szCs w:val="21"/>
              </w:rPr>
            </w:pPr>
            <w:r>
              <w:rPr>
                <w:rFonts w:hint="eastAsia" w:ascii="Microsoft YaHei UI" w:hAnsi="Microsoft YaHei UI" w:eastAsia="Microsoft YaHei UI" w:cs="宋体"/>
                <w:b/>
                <w:bCs/>
                <w:color w:val="000000"/>
                <w:spacing w:val="8"/>
                <w:kern w:val="0"/>
                <w:szCs w:val="21"/>
              </w:rPr>
              <w:t>与资源</w:t>
            </w:r>
          </w:p>
        </w:tc>
        <w:tc>
          <w:tcPr>
            <w:tcW w:w="2434" w:type="dxa"/>
            <w:vMerge w:val="restart"/>
            <w:tcBorders>
              <w:top w:val="nil"/>
              <w:left w:val="nil"/>
              <w:bottom w:val="single" w:color="auto" w:sz="12" w:space="0"/>
              <w:right w:val="single" w:color="auto" w:sz="12" w:space="0"/>
            </w:tcBorders>
            <w:shd w:val="clear" w:color="auto" w:fill="FFFFFF"/>
            <w:tcMar>
              <w:top w:w="0" w:type="dxa"/>
              <w:left w:w="120" w:type="dxa"/>
              <w:bottom w:w="0" w:type="dxa"/>
              <w:right w:w="120" w:type="dxa"/>
            </w:tcMar>
            <w:vAlign w:val="center"/>
          </w:tcPr>
          <w:p>
            <w:pPr>
              <w:widowControl/>
              <w:spacing w:line="300" w:lineRule="exact"/>
              <w:jc w:val="center"/>
              <w:rPr>
                <w:rFonts w:ascii="Microsoft YaHei UI" w:hAnsi="Microsoft YaHei UI" w:eastAsia="Microsoft YaHei UI" w:cs="宋体"/>
                <w:color w:val="333333"/>
                <w:spacing w:val="8"/>
                <w:kern w:val="0"/>
                <w:szCs w:val="21"/>
              </w:rPr>
            </w:pPr>
            <w:r>
              <w:rPr>
                <w:rFonts w:hint="eastAsia" w:ascii="Microsoft YaHei UI" w:hAnsi="Microsoft YaHei UI" w:eastAsia="Microsoft YaHei UI" w:cs="宋体"/>
                <w:color w:val="000000"/>
                <w:spacing w:val="8"/>
                <w:kern w:val="0"/>
                <w:szCs w:val="21"/>
              </w:rPr>
              <w:t>B1.师资队伍</w:t>
            </w:r>
          </w:p>
        </w:tc>
        <w:tc>
          <w:tcPr>
            <w:tcW w:w="3845" w:type="dxa"/>
            <w:tcBorders>
              <w:top w:val="nil"/>
              <w:left w:val="nil"/>
              <w:bottom w:val="single" w:color="auto" w:sz="12" w:space="0"/>
              <w:right w:val="single" w:color="auto" w:sz="12" w:space="0"/>
            </w:tcBorders>
            <w:shd w:val="clear" w:color="auto" w:fill="FFFFFF"/>
            <w:vAlign w:val="center"/>
          </w:tcPr>
          <w:p>
            <w:pPr>
              <w:widowControl/>
              <w:spacing w:line="300" w:lineRule="exact"/>
              <w:ind w:firstLine="225"/>
              <w:jc w:val="left"/>
              <w:rPr>
                <w:rFonts w:ascii="Microsoft YaHei UI" w:hAnsi="Microsoft YaHei UI" w:eastAsia="Microsoft YaHei UI" w:cs="宋体"/>
                <w:color w:val="333333"/>
                <w:spacing w:val="8"/>
                <w:kern w:val="0"/>
                <w:szCs w:val="21"/>
              </w:rPr>
            </w:pPr>
            <w:r>
              <w:rPr>
                <w:rFonts w:hint="eastAsia" w:ascii="Microsoft YaHei UI" w:hAnsi="Microsoft YaHei UI" w:eastAsia="Microsoft YaHei UI" w:cs="宋体"/>
                <w:color w:val="000000"/>
                <w:spacing w:val="8"/>
                <w:kern w:val="0"/>
                <w:szCs w:val="21"/>
              </w:rPr>
              <w:t>S10.师德师风建设成效</w:t>
            </w:r>
          </w:p>
        </w:tc>
      </w:tr>
      <w:tr>
        <w:tblPrEx>
          <w:tblCellMar>
            <w:top w:w="0" w:type="dxa"/>
            <w:left w:w="0" w:type="dxa"/>
            <w:bottom w:w="0" w:type="dxa"/>
            <w:right w:w="0" w:type="dxa"/>
          </w:tblCellMar>
        </w:tblPrEx>
        <w:trPr>
          <w:trHeight w:val="420" w:hRule="atLeast"/>
          <w:jc w:val="center"/>
        </w:trPr>
        <w:tc>
          <w:tcPr>
            <w:tcW w:w="0" w:type="auto"/>
            <w:vMerge w:val="continue"/>
            <w:tcBorders>
              <w:top w:val="nil"/>
              <w:left w:val="single" w:color="auto" w:sz="12" w:space="0"/>
              <w:bottom w:val="single" w:color="auto" w:sz="12" w:space="0"/>
              <w:right w:val="single" w:color="auto" w:sz="12" w:space="0"/>
            </w:tcBorders>
            <w:shd w:val="clear" w:color="auto" w:fill="FFFFFF"/>
            <w:vAlign w:val="center"/>
          </w:tcPr>
          <w:p>
            <w:pPr>
              <w:widowControl/>
              <w:jc w:val="left"/>
              <w:rPr>
                <w:rFonts w:ascii="Microsoft YaHei UI" w:hAnsi="Microsoft YaHei UI" w:eastAsia="Microsoft YaHei UI" w:cs="宋体"/>
                <w:color w:val="333333"/>
                <w:spacing w:val="8"/>
                <w:kern w:val="0"/>
                <w:szCs w:val="21"/>
              </w:rPr>
            </w:pPr>
          </w:p>
        </w:tc>
        <w:tc>
          <w:tcPr>
            <w:tcW w:w="0" w:type="auto"/>
            <w:vMerge w:val="continue"/>
            <w:tcBorders>
              <w:top w:val="nil"/>
              <w:left w:val="nil"/>
              <w:bottom w:val="single" w:color="auto" w:sz="12" w:space="0"/>
              <w:right w:val="single" w:color="auto" w:sz="12" w:space="0"/>
            </w:tcBorders>
            <w:shd w:val="clear" w:color="auto" w:fill="FFFFFF"/>
            <w:vAlign w:val="center"/>
          </w:tcPr>
          <w:p>
            <w:pPr>
              <w:widowControl/>
              <w:spacing w:line="300" w:lineRule="exact"/>
              <w:jc w:val="left"/>
              <w:rPr>
                <w:rFonts w:ascii="Microsoft YaHei UI" w:hAnsi="Microsoft YaHei UI" w:eastAsia="Microsoft YaHei UI" w:cs="宋体"/>
                <w:color w:val="333333"/>
                <w:spacing w:val="8"/>
                <w:kern w:val="0"/>
                <w:szCs w:val="21"/>
              </w:rPr>
            </w:pPr>
          </w:p>
        </w:tc>
        <w:tc>
          <w:tcPr>
            <w:tcW w:w="3845" w:type="dxa"/>
            <w:tcBorders>
              <w:top w:val="nil"/>
              <w:left w:val="nil"/>
              <w:bottom w:val="single" w:color="auto" w:sz="12" w:space="0"/>
              <w:right w:val="single" w:color="auto" w:sz="12" w:space="0"/>
            </w:tcBorders>
            <w:shd w:val="clear" w:color="auto" w:fill="FFFFFF"/>
            <w:vAlign w:val="center"/>
          </w:tcPr>
          <w:p>
            <w:pPr>
              <w:widowControl/>
              <w:spacing w:line="300" w:lineRule="exact"/>
              <w:ind w:firstLine="225"/>
              <w:jc w:val="left"/>
              <w:rPr>
                <w:rFonts w:ascii="Microsoft YaHei UI" w:hAnsi="Microsoft YaHei UI" w:eastAsia="Microsoft YaHei UI" w:cs="宋体"/>
                <w:color w:val="333333"/>
                <w:spacing w:val="8"/>
                <w:kern w:val="0"/>
                <w:szCs w:val="21"/>
              </w:rPr>
            </w:pPr>
            <w:r>
              <w:rPr>
                <w:rFonts w:hint="eastAsia" w:ascii="Microsoft YaHei UI" w:hAnsi="Microsoft YaHei UI" w:eastAsia="Microsoft YaHei UI" w:cs="宋体"/>
                <w:color w:val="333333"/>
                <w:spacing w:val="8"/>
                <w:kern w:val="0"/>
                <w:szCs w:val="21"/>
              </w:rPr>
              <w:t>S11.师资队伍建设质量</w:t>
            </w:r>
          </w:p>
        </w:tc>
      </w:tr>
      <w:tr>
        <w:tblPrEx>
          <w:shd w:val="clear" w:color="auto" w:fill="FFFFFF"/>
          <w:tblCellMar>
            <w:top w:w="0" w:type="dxa"/>
            <w:left w:w="0" w:type="dxa"/>
            <w:bottom w:w="0" w:type="dxa"/>
            <w:right w:w="0" w:type="dxa"/>
          </w:tblCellMar>
        </w:tblPrEx>
        <w:trPr>
          <w:trHeight w:val="420" w:hRule="atLeast"/>
          <w:jc w:val="center"/>
        </w:trPr>
        <w:tc>
          <w:tcPr>
            <w:tcW w:w="0" w:type="auto"/>
            <w:vMerge w:val="continue"/>
            <w:tcBorders>
              <w:top w:val="nil"/>
              <w:left w:val="single" w:color="auto" w:sz="12" w:space="0"/>
              <w:bottom w:val="single" w:color="auto" w:sz="12" w:space="0"/>
              <w:right w:val="single" w:color="auto" w:sz="12" w:space="0"/>
            </w:tcBorders>
            <w:shd w:val="clear" w:color="auto" w:fill="FFFFFF"/>
            <w:vAlign w:val="center"/>
          </w:tcPr>
          <w:p>
            <w:pPr>
              <w:widowControl/>
              <w:jc w:val="left"/>
              <w:rPr>
                <w:rFonts w:ascii="Microsoft YaHei UI" w:hAnsi="Microsoft YaHei UI" w:eastAsia="Microsoft YaHei UI" w:cs="宋体"/>
                <w:color w:val="333333"/>
                <w:spacing w:val="8"/>
                <w:kern w:val="0"/>
                <w:szCs w:val="21"/>
              </w:rPr>
            </w:pPr>
          </w:p>
        </w:tc>
        <w:tc>
          <w:tcPr>
            <w:tcW w:w="2434" w:type="dxa"/>
            <w:tcBorders>
              <w:top w:val="nil"/>
              <w:left w:val="nil"/>
              <w:bottom w:val="single" w:color="auto" w:sz="12" w:space="0"/>
              <w:right w:val="single" w:color="auto" w:sz="12" w:space="0"/>
            </w:tcBorders>
            <w:shd w:val="clear" w:color="auto" w:fill="FFFFFF"/>
            <w:tcMar>
              <w:top w:w="0" w:type="dxa"/>
              <w:left w:w="120" w:type="dxa"/>
              <w:bottom w:w="0" w:type="dxa"/>
              <w:right w:w="120" w:type="dxa"/>
            </w:tcMar>
            <w:vAlign w:val="center"/>
          </w:tcPr>
          <w:p>
            <w:pPr>
              <w:widowControl/>
              <w:spacing w:line="300" w:lineRule="exact"/>
              <w:jc w:val="center"/>
              <w:rPr>
                <w:rFonts w:ascii="Microsoft YaHei UI" w:hAnsi="Microsoft YaHei UI" w:eastAsia="Microsoft YaHei UI" w:cs="宋体"/>
                <w:color w:val="333333"/>
                <w:spacing w:val="8"/>
                <w:kern w:val="0"/>
                <w:szCs w:val="21"/>
              </w:rPr>
            </w:pPr>
            <w:r>
              <w:rPr>
                <w:rFonts w:hint="eastAsia" w:ascii="Microsoft YaHei UI" w:hAnsi="Microsoft YaHei UI" w:eastAsia="Microsoft YaHei UI" w:cs="宋体"/>
                <w:color w:val="000000"/>
                <w:spacing w:val="8"/>
                <w:kern w:val="0"/>
                <w:szCs w:val="21"/>
              </w:rPr>
              <w:t>B2.平台资源</w:t>
            </w:r>
          </w:p>
        </w:tc>
        <w:tc>
          <w:tcPr>
            <w:tcW w:w="3845" w:type="dxa"/>
            <w:tcBorders>
              <w:top w:val="nil"/>
              <w:left w:val="nil"/>
              <w:bottom w:val="single" w:color="auto" w:sz="12" w:space="0"/>
              <w:right w:val="single" w:color="auto" w:sz="12" w:space="0"/>
            </w:tcBorders>
            <w:shd w:val="clear" w:color="auto" w:fill="FFFFFF"/>
            <w:vAlign w:val="center"/>
          </w:tcPr>
          <w:p>
            <w:pPr>
              <w:widowControl/>
              <w:spacing w:line="300" w:lineRule="exact"/>
              <w:ind w:firstLine="225"/>
              <w:jc w:val="left"/>
              <w:rPr>
                <w:rFonts w:ascii="Microsoft YaHei UI" w:hAnsi="Microsoft YaHei UI" w:eastAsia="Microsoft YaHei UI" w:cs="宋体"/>
                <w:color w:val="333333"/>
                <w:spacing w:val="8"/>
                <w:kern w:val="0"/>
                <w:szCs w:val="21"/>
              </w:rPr>
            </w:pPr>
            <w:r>
              <w:rPr>
                <w:rFonts w:hint="eastAsia" w:ascii="Microsoft YaHei UI" w:hAnsi="Microsoft YaHei UI" w:eastAsia="Microsoft YaHei UI" w:cs="宋体"/>
                <w:color w:val="333333"/>
                <w:spacing w:val="8"/>
                <w:kern w:val="0"/>
                <w:szCs w:val="21"/>
              </w:rPr>
              <w:t>S12.支撑平台和重大仪器情况</w:t>
            </w:r>
            <w:r>
              <w:rPr>
                <w:rFonts w:hint="eastAsia" w:ascii="楷体_GB2312" w:hAnsi="Microsoft YaHei UI" w:eastAsia="楷体_GB2312" w:cs="宋体"/>
                <w:color w:val="333333"/>
                <w:spacing w:val="8"/>
                <w:kern w:val="0"/>
                <w:szCs w:val="21"/>
              </w:rPr>
              <w:t>（部分学科）</w:t>
            </w:r>
          </w:p>
        </w:tc>
      </w:tr>
      <w:tr>
        <w:tblPrEx>
          <w:tblCellMar>
            <w:top w:w="0" w:type="dxa"/>
            <w:left w:w="0" w:type="dxa"/>
            <w:bottom w:w="0" w:type="dxa"/>
            <w:right w:w="0" w:type="dxa"/>
          </w:tblCellMar>
        </w:tblPrEx>
        <w:trPr>
          <w:trHeight w:val="420" w:hRule="atLeast"/>
          <w:jc w:val="center"/>
        </w:trPr>
        <w:tc>
          <w:tcPr>
            <w:tcW w:w="1881" w:type="dxa"/>
            <w:vMerge w:val="restart"/>
            <w:tcBorders>
              <w:top w:val="nil"/>
              <w:left w:val="single" w:color="auto" w:sz="12" w:space="0"/>
              <w:bottom w:val="single" w:color="auto" w:sz="12" w:space="0"/>
              <w:right w:val="single" w:color="auto" w:sz="12" w:space="0"/>
            </w:tcBorders>
            <w:shd w:val="clear" w:color="auto" w:fill="FFFFFF"/>
            <w:vAlign w:val="center"/>
          </w:tcPr>
          <w:p>
            <w:pPr>
              <w:widowControl/>
              <w:wordWrap w:val="0"/>
              <w:spacing w:line="300" w:lineRule="exact"/>
              <w:jc w:val="center"/>
              <w:rPr>
                <w:rFonts w:hint="eastAsia" w:ascii="Microsoft YaHei UI" w:hAnsi="Microsoft YaHei UI" w:eastAsia="Microsoft YaHei UI" w:cs="宋体"/>
                <w:color w:val="333333"/>
                <w:spacing w:val="8"/>
                <w:kern w:val="0"/>
                <w:szCs w:val="21"/>
              </w:rPr>
            </w:pPr>
            <w:r>
              <w:rPr>
                <w:rFonts w:hint="eastAsia" w:ascii="Microsoft YaHei UI" w:hAnsi="Microsoft YaHei UI" w:eastAsia="Microsoft YaHei UI" w:cs="宋体"/>
                <w:b/>
                <w:bCs/>
                <w:color w:val="000000"/>
                <w:spacing w:val="8"/>
                <w:kern w:val="0"/>
                <w:szCs w:val="21"/>
              </w:rPr>
              <w:t>C.</w:t>
            </w:r>
          </w:p>
          <w:p>
            <w:pPr>
              <w:widowControl/>
              <w:wordWrap w:val="0"/>
              <w:spacing w:line="300" w:lineRule="exact"/>
              <w:jc w:val="center"/>
              <w:rPr>
                <w:rFonts w:hint="eastAsia" w:ascii="Microsoft YaHei UI" w:hAnsi="Microsoft YaHei UI" w:eastAsia="Microsoft YaHei UI" w:cs="宋体"/>
                <w:color w:val="333333"/>
                <w:spacing w:val="8"/>
                <w:kern w:val="0"/>
                <w:szCs w:val="21"/>
              </w:rPr>
            </w:pPr>
            <w:r>
              <w:rPr>
                <w:rFonts w:hint="eastAsia" w:ascii="Microsoft YaHei UI" w:hAnsi="Microsoft YaHei UI" w:eastAsia="Microsoft YaHei UI" w:cs="宋体"/>
                <w:b/>
                <w:bCs/>
                <w:color w:val="000000"/>
                <w:spacing w:val="8"/>
                <w:kern w:val="0"/>
                <w:szCs w:val="21"/>
              </w:rPr>
              <w:t>科学研究</w:t>
            </w:r>
          </w:p>
          <w:p>
            <w:pPr>
              <w:widowControl/>
              <w:wordWrap w:val="0"/>
              <w:spacing w:line="300" w:lineRule="exact"/>
              <w:jc w:val="center"/>
              <w:rPr>
                <w:rFonts w:hint="eastAsia" w:ascii="Microsoft YaHei UI" w:hAnsi="Microsoft YaHei UI" w:eastAsia="Microsoft YaHei UI" w:cs="宋体"/>
                <w:color w:val="333333"/>
                <w:spacing w:val="8"/>
                <w:kern w:val="0"/>
                <w:szCs w:val="21"/>
              </w:rPr>
            </w:pPr>
            <w:r>
              <w:rPr>
                <w:rFonts w:hint="eastAsia" w:ascii="Microsoft YaHei UI" w:hAnsi="Microsoft YaHei UI" w:eastAsia="Microsoft YaHei UI" w:cs="宋体"/>
                <w:b/>
                <w:bCs/>
                <w:color w:val="000000"/>
                <w:spacing w:val="8"/>
                <w:kern w:val="0"/>
                <w:szCs w:val="21"/>
              </w:rPr>
              <w:t>(与艺术/设计</w:t>
            </w:r>
          </w:p>
          <w:p>
            <w:pPr>
              <w:widowControl/>
              <w:wordWrap w:val="0"/>
              <w:spacing w:line="300" w:lineRule="exact"/>
              <w:jc w:val="center"/>
              <w:rPr>
                <w:rFonts w:ascii="Microsoft YaHei UI" w:hAnsi="Microsoft YaHei UI" w:eastAsia="Microsoft YaHei UI" w:cs="宋体"/>
                <w:color w:val="333333"/>
                <w:spacing w:val="8"/>
                <w:kern w:val="0"/>
                <w:szCs w:val="21"/>
              </w:rPr>
            </w:pPr>
            <w:r>
              <w:rPr>
                <w:rFonts w:hint="eastAsia" w:ascii="Microsoft YaHei UI" w:hAnsi="Microsoft YaHei UI" w:eastAsia="Microsoft YaHei UI" w:cs="宋体"/>
                <w:b/>
                <w:bCs/>
                <w:color w:val="000000"/>
                <w:spacing w:val="8"/>
                <w:kern w:val="0"/>
                <w:szCs w:val="21"/>
              </w:rPr>
              <w:t>实践)水平</w:t>
            </w:r>
          </w:p>
        </w:tc>
        <w:tc>
          <w:tcPr>
            <w:tcW w:w="2434" w:type="dxa"/>
            <w:vMerge w:val="restart"/>
            <w:tcBorders>
              <w:top w:val="nil"/>
              <w:left w:val="nil"/>
              <w:bottom w:val="single" w:color="auto" w:sz="12" w:space="0"/>
              <w:right w:val="single" w:color="auto" w:sz="12" w:space="0"/>
            </w:tcBorders>
            <w:shd w:val="clear" w:color="auto" w:fill="FFFFFF"/>
            <w:tcMar>
              <w:top w:w="0" w:type="dxa"/>
              <w:left w:w="120" w:type="dxa"/>
              <w:bottom w:w="0" w:type="dxa"/>
              <w:right w:w="120" w:type="dxa"/>
            </w:tcMar>
            <w:vAlign w:val="center"/>
          </w:tcPr>
          <w:p>
            <w:pPr>
              <w:widowControl/>
              <w:spacing w:line="300" w:lineRule="exact"/>
              <w:jc w:val="center"/>
              <w:rPr>
                <w:rFonts w:ascii="Microsoft YaHei UI" w:hAnsi="Microsoft YaHei UI" w:eastAsia="Microsoft YaHei UI" w:cs="宋体"/>
                <w:color w:val="333333"/>
                <w:spacing w:val="8"/>
                <w:kern w:val="0"/>
                <w:szCs w:val="21"/>
              </w:rPr>
            </w:pPr>
            <w:r>
              <w:rPr>
                <w:rFonts w:hint="eastAsia" w:ascii="Microsoft YaHei UI" w:hAnsi="Microsoft YaHei UI" w:eastAsia="Microsoft YaHei UI" w:cs="宋体"/>
                <w:color w:val="000000"/>
                <w:spacing w:val="8"/>
                <w:kern w:val="0"/>
                <w:szCs w:val="21"/>
              </w:rPr>
              <w:t>C1.科研成果（与转化）</w:t>
            </w:r>
          </w:p>
        </w:tc>
        <w:tc>
          <w:tcPr>
            <w:tcW w:w="3845" w:type="dxa"/>
            <w:tcBorders>
              <w:top w:val="nil"/>
              <w:left w:val="nil"/>
              <w:bottom w:val="single" w:color="auto" w:sz="12" w:space="0"/>
              <w:right w:val="single" w:color="auto" w:sz="12" w:space="0"/>
            </w:tcBorders>
            <w:shd w:val="clear" w:color="auto" w:fill="FFFFFF"/>
            <w:vAlign w:val="center"/>
          </w:tcPr>
          <w:p>
            <w:pPr>
              <w:widowControl/>
              <w:spacing w:line="300" w:lineRule="exact"/>
              <w:ind w:firstLine="225"/>
              <w:jc w:val="left"/>
              <w:rPr>
                <w:rFonts w:ascii="Microsoft YaHei UI" w:hAnsi="Microsoft YaHei UI" w:eastAsia="Microsoft YaHei UI" w:cs="宋体"/>
                <w:color w:val="333333"/>
                <w:spacing w:val="8"/>
                <w:kern w:val="0"/>
                <w:szCs w:val="21"/>
              </w:rPr>
            </w:pPr>
            <w:r>
              <w:rPr>
                <w:rFonts w:hint="eastAsia" w:ascii="Microsoft YaHei UI" w:hAnsi="Microsoft YaHei UI" w:eastAsia="Microsoft YaHei UI" w:cs="宋体"/>
                <w:color w:val="333333"/>
                <w:spacing w:val="8"/>
                <w:kern w:val="0"/>
                <w:szCs w:val="21"/>
              </w:rPr>
              <w:t>S13.学术论文质量</w:t>
            </w:r>
          </w:p>
        </w:tc>
      </w:tr>
      <w:tr>
        <w:tblPrEx>
          <w:tblCellMar>
            <w:top w:w="0" w:type="dxa"/>
            <w:left w:w="0" w:type="dxa"/>
            <w:bottom w:w="0" w:type="dxa"/>
            <w:right w:w="0" w:type="dxa"/>
          </w:tblCellMar>
        </w:tblPrEx>
        <w:trPr>
          <w:trHeight w:val="420" w:hRule="atLeast"/>
          <w:jc w:val="center"/>
        </w:trPr>
        <w:tc>
          <w:tcPr>
            <w:tcW w:w="0" w:type="auto"/>
            <w:vMerge w:val="continue"/>
            <w:tcBorders>
              <w:top w:val="nil"/>
              <w:left w:val="single" w:color="auto" w:sz="12" w:space="0"/>
              <w:bottom w:val="single" w:color="auto" w:sz="12" w:space="0"/>
              <w:right w:val="single" w:color="auto" w:sz="12" w:space="0"/>
            </w:tcBorders>
            <w:shd w:val="clear" w:color="auto" w:fill="FFFFFF"/>
            <w:vAlign w:val="center"/>
          </w:tcPr>
          <w:p>
            <w:pPr>
              <w:widowControl/>
              <w:jc w:val="left"/>
              <w:rPr>
                <w:rFonts w:ascii="Microsoft YaHei UI" w:hAnsi="Microsoft YaHei UI" w:eastAsia="Microsoft YaHei UI" w:cs="宋体"/>
                <w:color w:val="333333"/>
                <w:spacing w:val="8"/>
                <w:kern w:val="0"/>
                <w:szCs w:val="21"/>
              </w:rPr>
            </w:pPr>
          </w:p>
        </w:tc>
        <w:tc>
          <w:tcPr>
            <w:tcW w:w="0" w:type="auto"/>
            <w:vMerge w:val="continue"/>
            <w:tcBorders>
              <w:top w:val="nil"/>
              <w:left w:val="nil"/>
              <w:bottom w:val="single" w:color="auto" w:sz="12" w:space="0"/>
              <w:right w:val="single" w:color="auto" w:sz="12" w:space="0"/>
            </w:tcBorders>
            <w:shd w:val="clear" w:color="auto" w:fill="FFFFFF"/>
            <w:vAlign w:val="center"/>
          </w:tcPr>
          <w:p>
            <w:pPr>
              <w:widowControl/>
              <w:spacing w:line="300" w:lineRule="exact"/>
              <w:jc w:val="left"/>
              <w:rPr>
                <w:rFonts w:ascii="Microsoft YaHei UI" w:hAnsi="Microsoft YaHei UI" w:eastAsia="Microsoft YaHei UI" w:cs="宋体"/>
                <w:color w:val="333333"/>
                <w:spacing w:val="8"/>
                <w:kern w:val="0"/>
                <w:szCs w:val="21"/>
              </w:rPr>
            </w:pPr>
          </w:p>
        </w:tc>
        <w:tc>
          <w:tcPr>
            <w:tcW w:w="3845" w:type="dxa"/>
            <w:tcBorders>
              <w:top w:val="nil"/>
              <w:left w:val="nil"/>
              <w:bottom w:val="single" w:color="auto" w:sz="12" w:space="0"/>
              <w:right w:val="single" w:color="auto" w:sz="12" w:space="0"/>
            </w:tcBorders>
            <w:shd w:val="clear" w:color="auto" w:fill="FFFFFF"/>
            <w:vAlign w:val="center"/>
          </w:tcPr>
          <w:p>
            <w:pPr>
              <w:widowControl/>
              <w:spacing w:line="300" w:lineRule="exact"/>
              <w:ind w:firstLine="225"/>
              <w:rPr>
                <w:rFonts w:ascii="Microsoft YaHei UI" w:hAnsi="Microsoft YaHei UI" w:eastAsia="Microsoft YaHei UI" w:cs="宋体"/>
                <w:color w:val="333333"/>
                <w:spacing w:val="8"/>
                <w:kern w:val="0"/>
                <w:szCs w:val="21"/>
              </w:rPr>
            </w:pPr>
            <w:r>
              <w:rPr>
                <w:rFonts w:hint="eastAsia" w:ascii="Microsoft YaHei UI" w:hAnsi="Microsoft YaHei UI" w:eastAsia="Microsoft YaHei UI" w:cs="宋体"/>
                <w:color w:val="000000"/>
                <w:spacing w:val="8"/>
                <w:kern w:val="0"/>
                <w:szCs w:val="21"/>
              </w:rPr>
              <w:t>S14.学术著作质量</w:t>
            </w:r>
            <w:r>
              <w:rPr>
                <w:rFonts w:hint="eastAsia" w:ascii="楷体_GB2312" w:hAnsi="Microsoft YaHei UI" w:eastAsia="楷体_GB2312" w:cs="宋体"/>
                <w:color w:val="333333"/>
                <w:spacing w:val="8"/>
                <w:kern w:val="0"/>
                <w:szCs w:val="21"/>
              </w:rPr>
              <w:t>（部分学科）</w:t>
            </w:r>
          </w:p>
        </w:tc>
      </w:tr>
      <w:tr>
        <w:tblPrEx>
          <w:tblCellMar>
            <w:top w:w="0" w:type="dxa"/>
            <w:left w:w="0" w:type="dxa"/>
            <w:bottom w:w="0" w:type="dxa"/>
            <w:right w:w="0" w:type="dxa"/>
          </w:tblCellMar>
        </w:tblPrEx>
        <w:trPr>
          <w:trHeight w:val="420" w:hRule="atLeast"/>
          <w:jc w:val="center"/>
        </w:trPr>
        <w:tc>
          <w:tcPr>
            <w:tcW w:w="0" w:type="auto"/>
            <w:vMerge w:val="continue"/>
            <w:tcBorders>
              <w:top w:val="nil"/>
              <w:left w:val="single" w:color="auto" w:sz="12" w:space="0"/>
              <w:bottom w:val="single" w:color="auto" w:sz="12" w:space="0"/>
              <w:right w:val="single" w:color="auto" w:sz="12" w:space="0"/>
            </w:tcBorders>
            <w:shd w:val="clear" w:color="auto" w:fill="FFFFFF"/>
            <w:vAlign w:val="center"/>
          </w:tcPr>
          <w:p>
            <w:pPr>
              <w:widowControl/>
              <w:jc w:val="left"/>
              <w:rPr>
                <w:rFonts w:ascii="Microsoft YaHei UI" w:hAnsi="Microsoft YaHei UI" w:eastAsia="Microsoft YaHei UI" w:cs="宋体"/>
                <w:color w:val="333333"/>
                <w:spacing w:val="8"/>
                <w:kern w:val="0"/>
                <w:szCs w:val="21"/>
              </w:rPr>
            </w:pPr>
          </w:p>
        </w:tc>
        <w:tc>
          <w:tcPr>
            <w:tcW w:w="0" w:type="auto"/>
            <w:vMerge w:val="continue"/>
            <w:tcBorders>
              <w:top w:val="nil"/>
              <w:left w:val="nil"/>
              <w:bottom w:val="single" w:color="auto" w:sz="12" w:space="0"/>
              <w:right w:val="single" w:color="auto" w:sz="12" w:space="0"/>
            </w:tcBorders>
            <w:shd w:val="clear" w:color="auto" w:fill="FFFFFF"/>
            <w:vAlign w:val="center"/>
          </w:tcPr>
          <w:p>
            <w:pPr>
              <w:widowControl/>
              <w:spacing w:line="300" w:lineRule="exact"/>
              <w:jc w:val="left"/>
              <w:rPr>
                <w:rFonts w:ascii="Microsoft YaHei UI" w:hAnsi="Microsoft YaHei UI" w:eastAsia="Microsoft YaHei UI" w:cs="宋体"/>
                <w:color w:val="333333"/>
                <w:spacing w:val="8"/>
                <w:kern w:val="0"/>
                <w:szCs w:val="21"/>
              </w:rPr>
            </w:pPr>
          </w:p>
        </w:tc>
        <w:tc>
          <w:tcPr>
            <w:tcW w:w="3845" w:type="dxa"/>
            <w:tcBorders>
              <w:top w:val="nil"/>
              <w:left w:val="nil"/>
              <w:bottom w:val="single" w:color="auto" w:sz="12" w:space="0"/>
              <w:right w:val="single" w:color="auto" w:sz="12" w:space="0"/>
            </w:tcBorders>
            <w:shd w:val="clear" w:color="auto" w:fill="FFFFFF"/>
            <w:vAlign w:val="center"/>
          </w:tcPr>
          <w:p>
            <w:pPr>
              <w:widowControl/>
              <w:spacing w:line="300" w:lineRule="exact"/>
              <w:ind w:firstLine="225"/>
              <w:rPr>
                <w:rFonts w:ascii="Microsoft YaHei UI" w:hAnsi="Microsoft YaHei UI" w:eastAsia="Microsoft YaHei UI" w:cs="宋体"/>
                <w:color w:val="333333"/>
                <w:spacing w:val="8"/>
                <w:kern w:val="0"/>
                <w:szCs w:val="21"/>
              </w:rPr>
            </w:pPr>
            <w:r>
              <w:rPr>
                <w:rFonts w:hint="eastAsia" w:ascii="Microsoft YaHei UI" w:hAnsi="Microsoft YaHei UI" w:eastAsia="Microsoft YaHei UI" w:cs="宋体"/>
                <w:color w:val="333333"/>
                <w:spacing w:val="8"/>
                <w:kern w:val="0"/>
                <w:szCs w:val="21"/>
              </w:rPr>
              <w:t>S15.专利转化情况</w:t>
            </w:r>
            <w:r>
              <w:rPr>
                <w:rFonts w:hint="eastAsia" w:ascii="楷体_GB2312" w:hAnsi="Microsoft YaHei UI" w:eastAsia="楷体_GB2312" w:cs="宋体"/>
                <w:color w:val="333333"/>
                <w:spacing w:val="8"/>
                <w:kern w:val="0"/>
                <w:szCs w:val="21"/>
              </w:rPr>
              <w:t>（部分学科）</w:t>
            </w:r>
          </w:p>
        </w:tc>
      </w:tr>
      <w:tr>
        <w:tblPrEx>
          <w:shd w:val="clear" w:color="auto" w:fill="FFFFFF"/>
          <w:tblCellMar>
            <w:top w:w="0" w:type="dxa"/>
            <w:left w:w="0" w:type="dxa"/>
            <w:bottom w:w="0" w:type="dxa"/>
            <w:right w:w="0" w:type="dxa"/>
          </w:tblCellMar>
        </w:tblPrEx>
        <w:trPr>
          <w:trHeight w:val="420" w:hRule="atLeast"/>
          <w:jc w:val="center"/>
        </w:trPr>
        <w:tc>
          <w:tcPr>
            <w:tcW w:w="0" w:type="auto"/>
            <w:vMerge w:val="continue"/>
            <w:tcBorders>
              <w:top w:val="nil"/>
              <w:left w:val="single" w:color="auto" w:sz="12" w:space="0"/>
              <w:bottom w:val="single" w:color="auto" w:sz="12" w:space="0"/>
              <w:right w:val="single" w:color="auto" w:sz="12" w:space="0"/>
            </w:tcBorders>
            <w:shd w:val="clear" w:color="auto" w:fill="FFFFFF"/>
            <w:vAlign w:val="center"/>
          </w:tcPr>
          <w:p>
            <w:pPr>
              <w:widowControl/>
              <w:jc w:val="left"/>
              <w:rPr>
                <w:rFonts w:ascii="Microsoft YaHei UI" w:hAnsi="Microsoft YaHei UI" w:eastAsia="Microsoft YaHei UI" w:cs="宋体"/>
                <w:color w:val="333333"/>
                <w:spacing w:val="8"/>
                <w:kern w:val="0"/>
                <w:szCs w:val="21"/>
              </w:rPr>
            </w:pPr>
          </w:p>
        </w:tc>
        <w:tc>
          <w:tcPr>
            <w:tcW w:w="0" w:type="auto"/>
            <w:vMerge w:val="continue"/>
            <w:tcBorders>
              <w:top w:val="nil"/>
              <w:left w:val="nil"/>
              <w:bottom w:val="single" w:color="auto" w:sz="12" w:space="0"/>
              <w:right w:val="single" w:color="auto" w:sz="12" w:space="0"/>
            </w:tcBorders>
            <w:shd w:val="clear" w:color="auto" w:fill="FFFFFF"/>
            <w:vAlign w:val="center"/>
          </w:tcPr>
          <w:p>
            <w:pPr>
              <w:widowControl/>
              <w:spacing w:line="300" w:lineRule="exact"/>
              <w:jc w:val="left"/>
              <w:rPr>
                <w:rFonts w:ascii="Microsoft YaHei UI" w:hAnsi="Microsoft YaHei UI" w:eastAsia="Microsoft YaHei UI" w:cs="宋体"/>
                <w:color w:val="333333"/>
                <w:spacing w:val="8"/>
                <w:kern w:val="0"/>
                <w:szCs w:val="21"/>
              </w:rPr>
            </w:pPr>
          </w:p>
        </w:tc>
        <w:tc>
          <w:tcPr>
            <w:tcW w:w="3845" w:type="dxa"/>
            <w:tcBorders>
              <w:top w:val="nil"/>
              <w:left w:val="nil"/>
              <w:bottom w:val="single" w:color="auto" w:sz="12" w:space="0"/>
              <w:right w:val="single" w:color="auto" w:sz="12" w:space="0"/>
            </w:tcBorders>
            <w:shd w:val="clear" w:color="auto" w:fill="FFFFFF"/>
            <w:vAlign w:val="center"/>
          </w:tcPr>
          <w:p>
            <w:pPr>
              <w:widowControl/>
              <w:spacing w:line="300" w:lineRule="exact"/>
              <w:ind w:firstLine="225"/>
              <w:rPr>
                <w:rFonts w:ascii="Microsoft YaHei UI" w:hAnsi="Microsoft YaHei UI" w:eastAsia="Microsoft YaHei UI" w:cs="宋体"/>
                <w:color w:val="333333"/>
                <w:spacing w:val="8"/>
                <w:kern w:val="0"/>
                <w:szCs w:val="21"/>
              </w:rPr>
            </w:pPr>
            <w:r>
              <w:rPr>
                <w:rFonts w:hint="eastAsia" w:ascii="Microsoft YaHei UI" w:hAnsi="Microsoft YaHei UI" w:eastAsia="Microsoft YaHei UI" w:cs="宋体"/>
                <w:color w:val="333333"/>
                <w:spacing w:val="8"/>
                <w:kern w:val="0"/>
                <w:szCs w:val="21"/>
              </w:rPr>
              <w:t>S16.新品种研发与转化情况</w:t>
            </w:r>
            <w:r>
              <w:rPr>
                <w:rFonts w:hint="eastAsia" w:ascii="楷体_GB2312" w:hAnsi="Microsoft YaHei UI" w:eastAsia="楷体_GB2312" w:cs="宋体"/>
                <w:color w:val="333333"/>
                <w:spacing w:val="8"/>
                <w:kern w:val="0"/>
                <w:szCs w:val="21"/>
              </w:rPr>
              <w:t>（部分学科）</w:t>
            </w:r>
          </w:p>
        </w:tc>
      </w:tr>
      <w:tr>
        <w:tblPrEx>
          <w:tblCellMar>
            <w:top w:w="0" w:type="dxa"/>
            <w:left w:w="0" w:type="dxa"/>
            <w:bottom w:w="0" w:type="dxa"/>
            <w:right w:w="0" w:type="dxa"/>
          </w:tblCellMar>
        </w:tblPrEx>
        <w:trPr>
          <w:trHeight w:val="420" w:hRule="atLeast"/>
          <w:jc w:val="center"/>
        </w:trPr>
        <w:tc>
          <w:tcPr>
            <w:tcW w:w="0" w:type="auto"/>
            <w:vMerge w:val="continue"/>
            <w:tcBorders>
              <w:top w:val="nil"/>
              <w:left w:val="single" w:color="auto" w:sz="12" w:space="0"/>
              <w:bottom w:val="single" w:color="auto" w:sz="12" w:space="0"/>
              <w:right w:val="single" w:color="auto" w:sz="12" w:space="0"/>
            </w:tcBorders>
            <w:shd w:val="clear" w:color="auto" w:fill="FFFFFF"/>
            <w:vAlign w:val="center"/>
          </w:tcPr>
          <w:p>
            <w:pPr>
              <w:widowControl/>
              <w:jc w:val="left"/>
              <w:rPr>
                <w:rFonts w:ascii="Microsoft YaHei UI" w:hAnsi="Microsoft YaHei UI" w:eastAsia="Microsoft YaHei UI" w:cs="宋体"/>
                <w:color w:val="333333"/>
                <w:spacing w:val="8"/>
                <w:kern w:val="0"/>
                <w:szCs w:val="21"/>
              </w:rPr>
            </w:pPr>
          </w:p>
        </w:tc>
        <w:tc>
          <w:tcPr>
            <w:tcW w:w="0" w:type="auto"/>
            <w:vMerge w:val="continue"/>
            <w:tcBorders>
              <w:top w:val="nil"/>
              <w:left w:val="nil"/>
              <w:bottom w:val="single" w:color="auto" w:sz="12" w:space="0"/>
              <w:right w:val="single" w:color="auto" w:sz="12" w:space="0"/>
            </w:tcBorders>
            <w:shd w:val="clear" w:color="auto" w:fill="FFFFFF"/>
            <w:vAlign w:val="center"/>
          </w:tcPr>
          <w:p>
            <w:pPr>
              <w:widowControl/>
              <w:spacing w:line="300" w:lineRule="exact"/>
              <w:jc w:val="left"/>
              <w:rPr>
                <w:rFonts w:ascii="Microsoft YaHei UI" w:hAnsi="Microsoft YaHei UI" w:eastAsia="Microsoft YaHei UI" w:cs="宋体"/>
                <w:color w:val="333333"/>
                <w:spacing w:val="8"/>
                <w:kern w:val="0"/>
                <w:szCs w:val="21"/>
              </w:rPr>
            </w:pPr>
          </w:p>
        </w:tc>
        <w:tc>
          <w:tcPr>
            <w:tcW w:w="3845" w:type="dxa"/>
            <w:tcBorders>
              <w:top w:val="nil"/>
              <w:left w:val="nil"/>
              <w:bottom w:val="single" w:color="auto" w:sz="12" w:space="0"/>
              <w:right w:val="single" w:color="auto" w:sz="12" w:space="0"/>
            </w:tcBorders>
            <w:shd w:val="clear" w:color="auto" w:fill="FFFFFF"/>
            <w:vAlign w:val="center"/>
          </w:tcPr>
          <w:p>
            <w:pPr>
              <w:widowControl/>
              <w:spacing w:line="300" w:lineRule="exact"/>
              <w:ind w:firstLine="225"/>
              <w:rPr>
                <w:rFonts w:ascii="Microsoft YaHei UI" w:hAnsi="Microsoft YaHei UI" w:eastAsia="Microsoft YaHei UI" w:cs="宋体"/>
                <w:color w:val="333333"/>
                <w:spacing w:val="8"/>
                <w:kern w:val="0"/>
                <w:szCs w:val="21"/>
              </w:rPr>
            </w:pPr>
            <w:r>
              <w:rPr>
                <w:rFonts w:hint="eastAsia" w:ascii="Microsoft YaHei UI" w:hAnsi="Microsoft YaHei UI" w:eastAsia="Microsoft YaHei UI" w:cs="宋体"/>
                <w:color w:val="333333"/>
                <w:spacing w:val="8"/>
                <w:kern w:val="0"/>
                <w:szCs w:val="21"/>
              </w:rPr>
              <w:t>S17.新药研发情况</w:t>
            </w:r>
            <w:r>
              <w:rPr>
                <w:rFonts w:hint="eastAsia" w:ascii="楷体_GB2312" w:hAnsi="Microsoft YaHei UI" w:eastAsia="楷体_GB2312" w:cs="宋体"/>
                <w:color w:val="333333"/>
                <w:spacing w:val="8"/>
                <w:kern w:val="0"/>
                <w:szCs w:val="21"/>
              </w:rPr>
              <w:t>（部分学科）</w:t>
            </w:r>
          </w:p>
        </w:tc>
      </w:tr>
      <w:tr>
        <w:tblPrEx>
          <w:shd w:val="clear" w:color="auto" w:fill="FFFFFF"/>
          <w:tblCellMar>
            <w:top w:w="0" w:type="dxa"/>
            <w:left w:w="0" w:type="dxa"/>
            <w:bottom w:w="0" w:type="dxa"/>
            <w:right w:w="0" w:type="dxa"/>
          </w:tblCellMar>
        </w:tblPrEx>
        <w:trPr>
          <w:trHeight w:val="420" w:hRule="atLeast"/>
          <w:jc w:val="center"/>
        </w:trPr>
        <w:tc>
          <w:tcPr>
            <w:tcW w:w="0" w:type="auto"/>
            <w:vMerge w:val="continue"/>
            <w:tcBorders>
              <w:top w:val="nil"/>
              <w:left w:val="single" w:color="auto" w:sz="12" w:space="0"/>
              <w:bottom w:val="single" w:color="auto" w:sz="12" w:space="0"/>
              <w:right w:val="single" w:color="auto" w:sz="12" w:space="0"/>
            </w:tcBorders>
            <w:shd w:val="clear" w:color="auto" w:fill="FFFFFF"/>
            <w:vAlign w:val="center"/>
          </w:tcPr>
          <w:p>
            <w:pPr>
              <w:widowControl/>
              <w:jc w:val="left"/>
              <w:rPr>
                <w:rFonts w:ascii="Microsoft YaHei UI" w:hAnsi="Microsoft YaHei UI" w:eastAsia="Microsoft YaHei UI" w:cs="宋体"/>
                <w:color w:val="333333"/>
                <w:spacing w:val="8"/>
                <w:kern w:val="0"/>
                <w:szCs w:val="21"/>
              </w:rPr>
            </w:pPr>
          </w:p>
        </w:tc>
        <w:tc>
          <w:tcPr>
            <w:tcW w:w="2434" w:type="dxa"/>
            <w:vMerge w:val="restart"/>
            <w:tcBorders>
              <w:top w:val="nil"/>
              <w:left w:val="nil"/>
              <w:bottom w:val="single" w:color="auto" w:sz="12" w:space="0"/>
              <w:right w:val="single" w:color="auto" w:sz="12" w:space="0"/>
            </w:tcBorders>
            <w:shd w:val="clear" w:color="auto" w:fill="FFFFFF"/>
            <w:tcMar>
              <w:top w:w="0" w:type="dxa"/>
              <w:left w:w="120" w:type="dxa"/>
              <w:bottom w:w="0" w:type="dxa"/>
              <w:right w:w="120" w:type="dxa"/>
            </w:tcMar>
            <w:vAlign w:val="center"/>
          </w:tcPr>
          <w:p>
            <w:pPr>
              <w:widowControl/>
              <w:spacing w:line="300" w:lineRule="exact"/>
              <w:jc w:val="center"/>
              <w:rPr>
                <w:rFonts w:ascii="Microsoft YaHei UI" w:hAnsi="Microsoft YaHei UI" w:eastAsia="Microsoft YaHei UI" w:cs="宋体"/>
                <w:color w:val="333333"/>
                <w:spacing w:val="8"/>
                <w:kern w:val="0"/>
                <w:szCs w:val="21"/>
              </w:rPr>
            </w:pPr>
            <w:r>
              <w:rPr>
                <w:rFonts w:hint="eastAsia" w:ascii="Microsoft YaHei UI" w:hAnsi="Microsoft YaHei UI" w:eastAsia="Microsoft YaHei UI" w:cs="宋体"/>
                <w:color w:val="000000"/>
                <w:spacing w:val="8"/>
                <w:kern w:val="0"/>
                <w:szCs w:val="21"/>
              </w:rPr>
              <w:t>C2.科研项目与获奖</w:t>
            </w:r>
          </w:p>
        </w:tc>
        <w:tc>
          <w:tcPr>
            <w:tcW w:w="3845" w:type="dxa"/>
            <w:tcBorders>
              <w:top w:val="nil"/>
              <w:left w:val="nil"/>
              <w:bottom w:val="single" w:color="auto" w:sz="12" w:space="0"/>
              <w:right w:val="single" w:color="auto" w:sz="12" w:space="0"/>
            </w:tcBorders>
            <w:shd w:val="clear" w:color="auto" w:fill="FFFFFF"/>
            <w:vAlign w:val="center"/>
          </w:tcPr>
          <w:p>
            <w:pPr>
              <w:widowControl/>
              <w:spacing w:line="300" w:lineRule="exact"/>
              <w:ind w:firstLine="225"/>
              <w:rPr>
                <w:rFonts w:ascii="Microsoft YaHei UI" w:hAnsi="Microsoft YaHei UI" w:eastAsia="Microsoft YaHei UI" w:cs="宋体"/>
                <w:color w:val="333333"/>
                <w:spacing w:val="8"/>
                <w:kern w:val="0"/>
                <w:szCs w:val="21"/>
              </w:rPr>
            </w:pPr>
            <w:r>
              <w:rPr>
                <w:rFonts w:hint="eastAsia" w:ascii="Microsoft YaHei UI" w:hAnsi="Microsoft YaHei UI" w:eastAsia="Microsoft YaHei UI" w:cs="宋体"/>
                <w:color w:val="333333"/>
                <w:spacing w:val="8"/>
                <w:kern w:val="0"/>
                <w:szCs w:val="21"/>
              </w:rPr>
              <w:t>S18.科研项目情况</w:t>
            </w:r>
          </w:p>
        </w:tc>
      </w:tr>
      <w:tr>
        <w:tblPrEx>
          <w:tblCellMar>
            <w:top w:w="0" w:type="dxa"/>
            <w:left w:w="0" w:type="dxa"/>
            <w:bottom w:w="0" w:type="dxa"/>
            <w:right w:w="0" w:type="dxa"/>
          </w:tblCellMar>
        </w:tblPrEx>
        <w:trPr>
          <w:trHeight w:val="420" w:hRule="atLeast"/>
          <w:jc w:val="center"/>
        </w:trPr>
        <w:tc>
          <w:tcPr>
            <w:tcW w:w="0" w:type="auto"/>
            <w:vMerge w:val="continue"/>
            <w:tcBorders>
              <w:top w:val="nil"/>
              <w:left w:val="single" w:color="auto" w:sz="12" w:space="0"/>
              <w:bottom w:val="single" w:color="auto" w:sz="12" w:space="0"/>
              <w:right w:val="single" w:color="auto" w:sz="12" w:space="0"/>
            </w:tcBorders>
            <w:shd w:val="clear" w:color="auto" w:fill="FFFFFF"/>
            <w:vAlign w:val="center"/>
          </w:tcPr>
          <w:p>
            <w:pPr>
              <w:widowControl/>
              <w:jc w:val="left"/>
              <w:rPr>
                <w:rFonts w:ascii="Microsoft YaHei UI" w:hAnsi="Microsoft YaHei UI" w:eastAsia="Microsoft YaHei UI" w:cs="宋体"/>
                <w:color w:val="333333"/>
                <w:spacing w:val="8"/>
                <w:kern w:val="0"/>
                <w:szCs w:val="21"/>
              </w:rPr>
            </w:pPr>
          </w:p>
        </w:tc>
        <w:tc>
          <w:tcPr>
            <w:tcW w:w="0" w:type="auto"/>
            <w:vMerge w:val="continue"/>
            <w:tcBorders>
              <w:top w:val="nil"/>
              <w:left w:val="nil"/>
              <w:bottom w:val="single" w:color="auto" w:sz="12" w:space="0"/>
              <w:right w:val="single" w:color="auto" w:sz="12" w:space="0"/>
            </w:tcBorders>
            <w:shd w:val="clear" w:color="auto" w:fill="FFFFFF"/>
            <w:vAlign w:val="center"/>
          </w:tcPr>
          <w:p>
            <w:pPr>
              <w:widowControl/>
              <w:spacing w:line="300" w:lineRule="exact"/>
              <w:jc w:val="left"/>
              <w:rPr>
                <w:rFonts w:ascii="Microsoft YaHei UI" w:hAnsi="Microsoft YaHei UI" w:eastAsia="Microsoft YaHei UI" w:cs="宋体"/>
                <w:color w:val="333333"/>
                <w:spacing w:val="8"/>
                <w:kern w:val="0"/>
                <w:szCs w:val="21"/>
              </w:rPr>
            </w:pPr>
          </w:p>
        </w:tc>
        <w:tc>
          <w:tcPr>
            <w:tcW w:w="3845" w:type="dxa"/>
            <w:tcBorders>
              <w:top w:val="nil"/>
              <w:left w:val="nil"/>
              <w:bottom w:val="single" w:color="auto" w:sz="12" w:space="0"/>
              <w:right w:val="single" w:color="auto" w:sz="12" w:space="0"/>
            </w:tcBorders>
            <w:shd w:val="clear" w:color="auto" w:fill="FFFFFF"/>
            <w:vAlign w:val="center"/>
          </w:tcPr>
          <w:p>
            <w:pPr>
              <w:widowControl/>
              <w:spacing w:line="300" w:lineRule="exact"/>
              <w:ind w:firstLine="225"/>
              <w:rPr>
                <w:rFonts w:ascii="Microsoft YaHei UI" w:hAnsi="Microsoft YaHei UI" w:eastAsia="Microsoft YaHei UI" w:cs="宋体"/>
                <w:color w:val="333333"/>
                <w:spacing w:val="8"/>
                <w:kern w:val="0"/>
                <w:szCs w:val="21"/>
              </w:rPr>
            </w:pPr>
            <w:r>
              <w:rPr>
                <w:rFonts w:hint="eastAsia" w:ascii="Microsoft YaHei UI" w:hAnsi="Microsoft YaHei UI" w:eastAsia="Microsoft YaHei UI" w:cs="宋体"/>
                <w:color w:val="333333"/>
                <w:spacing w:val="8"/>
                <w:kern w:val="0"/>
                <w:szCs w:val="21"/>
              </w:rPr>
              <w:t>S19.科研获奖情况</w:t>
            </w:r>
          </w:p>
        </w:tc>
      </w:tr>
      <w:tr>
        <w:tblPrEx>
          <w:shd w:val="clear" w:color="auto" w:fill="FFFFFF"/>
          <w:tblCellMar>
            <w:top w:w="0" w:type="dxa"/>
            <w:left w:w="0" w:type="dxa"/>
            <w:bottom w:w="0" w:type="dxa"/>
            <w:right w:w="0" w:type="dxa"/>
          </w:tblCellMar>
        </w:tblPrEx>
        <w:trPr>
          <w:trHeight w:val="480" w:hRule="atLeast"/>
          <w:jc w:val="center"/>
        </w:trPr>
        <w:tc>
          <w:tcPr>
            <w:tcW w:w="0" w:type="auto"/>
            <w:vMerge w:val="continue"/>
            <w:tcBorders>
              <w:top w:val="nil"/>
              <w:left w:val="single" w:color="auto" w:sz="12" w:space="0"/>
              <w:bottom w:val="single" w:color="auto" w:sz="12" w:space="0"/>
              <w:right w:val="single" w:color="auto" w:sz="12" w:space="0"/>
            </w:tcBorders>
            <w:shd w:val="clear" w:color="auto" w:fill="FFFFFF"/>
            <w:vAlign w:val="center"/>
          </w:tcPr>
          <w:p>
            <w:pPr>
              <w:widowControl/>
              <w:jc w:val="left"/>
              <w:rPr>
                <w:rFonts w:ascii="Microsoft YaHei UI" w:hAnsi="Microsoft YaHei UI" w:eastAsia="Microsoft YaHei UI" w:cs="宋体"/>
                <w:color w:val="333333"/>
                <w:spacing w:val="8"/>
                <w:kern w:val="0"/>
                <w:szCs w:val="21"/>
              </w:rPr>
            </w:pPr>
          </w:p>
        </w:tc>
        <w:tc>
          <w:tcPr>
            <w:tcW w:w="2434" w:type="dxa"/>
            <w:tcBorders>
              <w:top w:val="nil"/>
              <w:left w:val="nil"/>
              <w:bottom w:val="single" w:color="auto" w:sz="12" w:space="0"/>
              <w:right w:val="single" w:color="auto" w:sz="12" w:space="0"/>
            </w:tcBorders>
            <w:shd w:val="clear" w:color="auto" w:fill="FFFFFF"/>
            <w:tcMar>
              <w:top w:w="0" w:type="dxa"/>
              <w:left w:w="120" w:type="dxa"/>
              <w:bottom w:w="0" w:type="dxa"/>
              <w:right w:w="120" w:type="dxa"/>
            </w:tcMar>
            <w:vAlign w:val="center"/>
          </w:tcPr>
          <w:p>
            <w:pPr>
              <w:widowControl/>
              <w:spacing w:line="300" w:lineRule="exact"/>
              <w:jc w:val="center"/>
              <w:rPr>
                <w:rFonts w:ascii="Microsoft YaHei UI" w:hAnsi="Microsoft YaHei UI" w:eastAsia="Microsoft YaHei UI" w:cs="宋体"/>
                <w:color w:val="333333"/>
                <w:spacing w:val="8"/>
                <w:kern w:val="0"/>
                <w:szCs w:val="21"/>
              </w:rPr>
            </w:pPr>
            <w:r>
              <w:rPr>
                <w:rFonts w:hint="eastAsia" w:ascii="Microsoft YaHei UI" w:hAnsi="Microsoft YaHei UI" w:eastAsia="Microsoft YaHei UI" w:cs="宋体"/>
                <w:color w:val="000000"/>
                <w:spacing w:val="8"/>
                <w:kern w:val="0"/>
                <w:szCs w:val="21"/>
              </w:rPr>
              <w:t>C3.</w:t>
            </w:r>
            <w:r>
              <w:rPr>
                <w:rFonts w:hint="eastAsia" w:ascii="Microsoft YaHei UI" w:hAnsi="Microsoft YaHei UI" w:eastAsia="Microsoft YaHei UI" w:cs="宋体"/>
                <w:color w:val="333333"/>
                <w:spacing w:val="8"/>
                <w:kern w:val="0"/>
                <w:szCs w:val="21"/>
              </w:rPr>
              <w:t>艺术实践成果</w:t>
            </w:r>
          </w:p>
        </w:tc>
        <w:tc>
          <w:tcPr>
            <w:tcW w:w="3845" w:type="dxa"/>
            <w:tcBorders>
              <w:top w:val="nil"/>
              <w:left w:val="nil"/>
              <w:bottom w:val="single" w:color="auto" w:sz="12" w:space="0"/>
              <w:right w:val="single" w:color="auto" w:sz="12" w:space="0"/>
            </w:tcBorders>
            <w:shd w:val="clear" w:color="auto" w:fill="FFFFFF"/>
            <w:vAlign w:val="center"/>
          </w:tcPr>
          <w:p>
            <w:pPr>
              <w:widowControl/>
              <w:spacing w:line="300" w:lineRule="exact"/>
              <w:ind w:firstLine="225"/>
              <w:rPr>
                <w:rFonts w:ascii="Microsoft YaHei UI" w:hAnsi="Microsoft YaHei UI" w:eastAsia="Microsoft YaHei UI" w:cs="宋体"/>
                <w:color w:val="333333"/>
                <w:spacing w:val="8"/>
                <w:kern w:val="0"/>
                <w:szCs w:val="21"/>
              </w:rPr>
            </w:pPr>
            <w:r>
              <w:rPr>
                <w:rFonts w:hint="eastAsia" w:ascii="Microsoft YaHei UI" w:hAnsi="Microsoft YaHei UI" w:eastAsia="Microsoft YaHei UI" w:cs="宋体"/>
                <w:color w:val="333333"/>
                <w:spacing w:val="8"/>
                <w:kern w:val="0"/>
                <w:szCs w:val="21"/>
              </w:rPr>
              <w:t>S20.艺术实践</w:t>
            </w:r>
            <w:r>
              <w:rPr>
                <w:rFonts w:hint="eastAsia" w:ascii="Microsoft YaHei UI" w:hAnsi="Microsoft YaHei UI" w:eastAsia="Microsoft YaHei UI" w:cs="宋体"/>
                <w:color w:val="000000"/>
                <w:spacing w:val="8"/>
                <w:kern w:val="0"/>
                <w:szCs w:val="21"/>
              </w:rPr>
              <w:t>成果</w:t>
            </w:r>
            <w:r>
              <w:rPr>
                <w:rFonts w:hint="eastAsia" w:ascii="楷体_GB2312" w:hAnsi="Microsoft YaHei UI" w:eastAsia="楷体_GB2312" w:cs="宋体"/>
                <w:color w:val="333333"/>
                <w:spacing w:val="8"/>
                <w:kern w:val="0"/>
                <w:szCs w:val="21"/>
              </w:rPr>
              <w:t>（部分学科）</w:t>
            </w:r>
          </w:p>
        </w:tc>
      </w:tr>
      <w:tr>
        <w:tblPrEx>
          <w:shd w:val="clear" w:color="auto" w:fill="FFFFFF"/>
          <w:tblCellMar>
            <w:top w:w="0" w:type="dxa"/>
            <w:left w:w="0" w:type="dxa"/>
            <w:bottom w:w="0" w:type="dxa"/>
            <w:right w:w="0" w:type="dxa"/>
          </w:tblCellMar>
        </w:tblPrEx>
        <w:trPr>
          <w:trHeight w:val="465" w:hRule="atLeast"/>
          <w:jc w:val="center"/>
        </w:trPr>
        <w:tc>
          <w:tcPr>
            <w:tcW w:w="0" w:type="auto"/>
            <w:vMerge w:val="continue"/>
            <w:tcBorders>
              <w:top w:val="nil"/>
              <w:left w:val="single" w:color="auto" w:sz="12" w:space="0"/>
              <w:bottom w:val="single" w:color="auto" w:sz="12" w:space="0"/>
              <w:right w:val="single" w:color="auto" w:sz="12" w:space="0"/>
            </w:tcBorders>
            <w:shd w:val="clear" w:color="auto" w:fill="FFFFFF"/>
            <w:vAlign w:val="center"/>
          </w:tcPr>
          <w:p>
            <w:pPr>
              <w:widowControl/>
              <w:jc w:val="left"/>
              <w:rPr>
                <w:rFonts w:ascii="Microsoft YaHei UI" w:hAnsi="Microsoft YaHei UI" w:eastAsia="Microsoft YaHei UI" w:cs="宋体"/>
                <w:color w:val="333333"/>
                <w:spacing w:val="8"/>
                <w:kern w:val="0"/>
                <w:szCs w:val="21"/>
              </w:rPr>
            </w:pPr>
          </w:p>
        </w:tc>
        <w:tc>
          <w:tcPr>
            <w:tcW w:w="2434" w:type="dxa"/>
            <w:vMerge w:val="restart"/>
            <w:tcBorders>
              <w:top w:val="nil"/>
              <w:left w:val="nil"/>
              <w:bottom w:val="single" w:color="auto" w:sz="12" w:space="0"/>
              <w:right w:val="single" w:color="auto" w:sz="12" w:space="0"/>
            </w:tcBorders>
            <w:shd w:val="clear" w:color="auto" w:fill="FFFFFF"/>
            <w:tcMar>
              <w:top w:w="0" w:type="dxa"/>
              <w:left w:w="120" w:type="dxa"/>
              <w:bottom w:w="0" w:type="dxa"/>
              <w:right w:w="120" w:type="dxa"/>
            </w:tcMar>
            <w:vAlign w:val="center"/>
          </w:tcPr>
          <w:p>
            <w:pPr>
              <w:widowControl/>
              <w:spacing w:line="300" w:lineRule="exact"/>
              <w:jc w:val="center"/>
              <w:rPr>
                <w:rFonts w:hint="eastAsia" w:ascii="Microsoft YaHei UI" w:hAnsi="Microsoft YaHei UI" w:eastAsia="Microsoft YaHei UI" w:cs="宋体"/>
                <w:color w:val="333333"/>
                <w:spacing w:val="8"/>
                <w:kern w:val="0"/>
                <w:szCs w:val="21"/>
              </w:rPr>
            </w:pPr>
            <w:r>
              <w:rPr>
                <w:rFonts w:hint="eastAsia" w:ascii="Microsoft YaHei UI" w:hAnsi="Microsoft YaHei UI" w:eastAsia="Microsoft YaHei UI" w:cs="宋体"/>
                <w:color w:val="000000"/>
                <w:spacing w:val="8"/>
                <w:kern w:val="0"/>
                <w:szCs w:val="21"/>
              </w:rPr>
              <w:t>C4.艺术/设计实践</w:t>
            </w:r>
          </w:p>
          <w:p>
            <w:pPr>
              <w:widowControl/>
              <w:spacing w:line="300" w:lineRule="exact"/>
              <w:jc w:val="center"/>
              <w:rPr>
                <w:rFonts w:ascii="Microsoft YaHei UI" w:hAnsi="Microsoft YaHei UI" w:eastAsia="Microsoft YaHei UI" w:cs="宋体"/>
                <w:color w:val="333333"/>
                <w:spacing w:val="8"/>
                <w:kern w:val="0"/>
                <w:szCs w:val="21"/>
              </w:rPr>
            </w:pPr>
            <w:r>
              <w:rPr>
                <w:rFonts w:hint="eastAsia" w:ascii="Microsoft YaHei UI" w:hAnsi="Microsoft YaHei UI" w:eastAsia="Microsoft YaHei UI" w:cs="宋体"/>
                <w:color w:val="333333"/>
                <w:spacing w:val="8"/>
                <w:kern w:val="0"/>
                <w:szCs w:val="21"/>
              </w:rPr>
              <w:t>项目与获奖</w:t>
            </w:r>
          </w:p>
        </w:tc>
        <w:tc>
          <w:tcPr>
            <w:tcW w:w="3845" w:type="dxa"/>
            <w:tcBorders>
              <w:top w:val="nil"/>
              <w:left w:val="nil"/>
              <w:bottom w:val="single" w:color="auto" w:sz="12" w:space="0"/>
              <w:right w:val="single" w:color="auto" w:sz="12" w:space="0"/>
            </w:tcBorders>
            <w:shd w:val="clear" w:color="auto" w:fill="FFFFFF"/>
            <w:vAlign w:val="center"/>
          </w:tcPr>
          <w:p>
            <w:pPr>
              <w:widowControl/>
              <w:spacing w:line="300" w:lineRule="exact"/>
              <w:ind w:firstLine="225"/>
              <w:rPr>
                <w:rFonts w:ascii="Microsoft YaHei UI" w:hAnsi="Microsoft YaHei UI" w:eastAsia="Microsoft YaHei UI" w:cs="宋体"/>
                <w:color w:val="333333"/>
                <w:spacing w:val="8"/>
                <w:kern w:val="0"/>
                <w:szCs w:val="21"/>
              </w:rPr>
            </w:pPr>
            <w:r>
              <w:rPr>
                <w:rFonts w:hint="eastAsia" w:ascii="Microsoft YaHei UI" w:hAnsi="Microsoft YaHei UI" w:eastAsia="Microsoft YaHei UI" w:cs="宋体"/>
                <w:color w:val="000000"/>
                <w:spacing w:val="8"/>
                <w:kern w:val="0"/>
                <w:szCs w:val="21"/>
              </w:rPr>
              <w:t>S21.艺术/设计实践项目</w:t>
            </w:r>
            <w:r>
              <w:rPr>
                <w:rFonts w:hint="eastAsia" w:ascii="楷体_GB2312" w:hAnsi="Microsoft YaHei UI" w:eastAsia="楷体_GB2312" w:cs="宋体"/>
                <w:color w:val="333333"/>
                <w:spacing w:val="8"/>
                <w:kern w:val="0"/>
                <w:szCs w:val="21"/>
              </w:rPr>
              <w:t>（部分学科）</w:t>
            </w:r>
          </w:p>
        </w:tc>
      </w:tr>
      <w:tr>
        <w:tblPrEx>
          <w:tblCellMar>
            <w:top w:w="0" w:type="dxa"/>
            <w:left w:w="0" w:type="dxa"/>
            <w:bottom w:w="0" w:type="dxa"/>
            <w:right w:w="0" w:type="dxa"/>
          </w:tblCellMar>
        </w:tblPrEx>
        <w:trPr>
          <w:trHeight w:val="435" w:hRule="atLeast"/>
          <w:jc w:val="center"/>
        </w:trPr>
        <w:tc>
          <w:tcPr>
            <w:tcW w:w="0" w:type="auto"/>
            <w:vMerge w:val="continue"/>
            <w:tcBorders>
              <w:top w:val="nil"/>
              <w:left w:val="single" w:color="auto" w:sz="12" w:space="0"/>
              <w:bottom w:val="single" w:color="auto" w:sz="12" w:space="0"/>
              <w:right w:val="single" w:color="auto" w:sz="12" w:space="0"/>
            </w:tcBorders>
            <w:shd w:val="clear" w:color="auto" w:fill="FFFFFF"/>
            <w:vAlign w:val="center"/>
          </w:tcPr>
          <w:p>
            <w:pPr>
              <w:widowControl/>
              <w:jc w:val="left"/>
              <w:rPr>
                <w:rFonts w:ascii="Microsoft YaHei UI" w:hAnsi="Microsoft YaHei UI" w:eastAsia="Microsoft YaHei UI" w:cs="宋体"/>
                <w:color w:val="333333"/>
                <w:spacing w:val="8"/>
                <w:kern w:val="0"/>
                <w:szCs w:val="21"/>
              </w:rPr>
            </w:pPr>
          </w:p>
        </w:tc>
        <w:tc>
          <w:tcPr>
            <w:tcW w:w="0" w:type="auto"/>
            <w:vMerge w:val="continue"/>
            <w:tcBorders>
              <w:top w:val="nil"/>
              <w:left w:val="nil"/>
              <w:bottom w:val="single" w:color="auto" w:sz="12" w:space="0"/>
              <w:right w:val="single" w:color="auto" w:sz="12" w:space="0"/>
            </w:tcBorders>
            <w:shd w:val="clear" w:color="auto" w:fill="FFFFFF"/>
            <w:vAlign w:val="center"/>
          </w:tcPr>
          <w:p>
            <w:pPr>
              <w:widowControl/>
              <w:spacing w:line="300" w:lineRule="exact"/>
              <w:jc w:val="left"/>
              <w:rPr>
                <w:rFonts w:ascii="Microsoft YaHei UI" w:hAnsi="Microsoft YaHei UI" w:eastAsia="Microsoft YaHei UI" w:cs="宋体"/>
                <w:color w:val="333333"/>
                <w:spacing w:val="8"/>
                <w:kern w:val="0"/>
                <w:szCs w:val="21"/>
              </w:rPr>
            </w:pPr>
          </w:p>
        </w:tc>
        <w:tc>
          <w:tcPr>
            <w:tcW w:w="3845" w:type="dxa"/>
            <w:tcBorders>
              <w:top w:val="nil"/>
              <w:left w:val="nil"/>
              <w:bottom w:val="single" w:color="auto" w:sz="12" w:space="0"/>
              <w:right w:val="single" w:color="auto" w:sz="12" w:space="0"/>
            </w:tcBorders>
            <w:shd w:val="clear" w:color="auto" w:fill="FFFFFF"/>
            <w:vAlign w:val="center"/>
          </w:tcPr>
          <w:p>
            <w:pPr>
              <w:widowControl/>
              <w:spacing w:line="300" w:lineRule="exact"/>
              <w:ind w:firstLine="225"/>
              <w:rPr>
                <w:rFonts w:ascii="Microsoft YaHei UI" w:hAnsi="Microsoft YaHei UI" w:eastAsia="Microsoft YaHei UI" w:cs="宋体"/>
                <w:color w:val="333333"/>
                <w:spacing w:val="8"/>
                <w:kern w:val="0"/>
                <w:szCs w:val="21"/>
              </w:rPr>
            </w:pPr>
            <w:r>
              <w:rPr>
                <w:rFonts w:hint="eastAsia" w:ascii="Microsoft YaHei UI" w:hAnsi="Microsoft YaHei UI" w:eastAsia="Microsoft YaHei UI" w:cs="宋体"/>
                <w:color w:val="000000"/>
                <w:spacing w:val="8"/>
                <w:kern w:val="0"/>
                <w:szCs w:val="21"/>
              </w:rPr>
              <w:t>S22.艺术/设计实践获奖</w:t>
            </w:r>
            <w:r>
              <w:rPr>
                <w:rFonts w:hint="eastAsia" w:ascii="楷体_GB2312" w:hAnsi="Microsoft YaHei UI" w:eastAsia="楷体_GB2312" w:cs="宋体"/>
                <w:color w:val="333333"/>
                <w:spacing w:val="8"/>
                <w:kern w:val="0"/>
                <w:szCs w:val="21"/>
              </w:rPr>
              <w:t>（部分学科）</w:t>
            </w:r>
          </w:p>
        </w:tc>
      </w:tr>
      <w:tr>
        <w:tblPrEx>
          <w:tblCellMar>
            <w:top w:w="0" w:type="dxa"/>
            <w:left w:w="0" w:type="dxa"/>
            <w:bottom w:w="0" w:type="dxa"/>
            <w:right w:w="0" w:type="dxa"/>
          </w:tblCellMar>
        </w:tblPrEx>
        <w:trPr>
          <w:trHeight w:val="420" w:hRule="atLeast"/>
          <w:jc w:val="center"/>
        </w:trPr>
        <w:tc>
          <w:tcPr>
            <w:tcW w:w="1881" w:type="dxa"/>
            <w:vMerge w:val="restart"/>
            <w:tcBorders>
              <w:top w:val="nil"/>
              <w:left w:val="single" w:color="auto" w:sz="12" w:space="0"/>
              <w:bottom w:val="single" w:color="auto" w:sz="12" w:space="0"/>
              <w:right w:val="single" w:color="auto" w:sz="12" w:space="0"/>
            </w:tcBorders>
            <w:shd w:val="clear" w:color="auto" w:fill="FFFFFF"/>
            <w:vAlign w:val="center"/>
          </w:tcPr>
          <w:p>
            <w:pPr>
              <w:widowControl/>
              <w:wordWrap w:val="0"/>
              <w:spacing w:line="300" w:lineRule="exact"/>
              <w:jc w:val="center"/>
              <w:rPr>
                <w:rFonts w:hint="eastAsia" w:ascii="Microsoft YaHei UI" w:hAnsi="Microsoft YaHei UI" w:eastAsia="Microsoft YaHei UI" w:cs="宋体"/>
                <w:color w:val="333333"/>
                <w:spacing w:val="8"/>
                <w:kern w:val="0"/>
                <w:szCs w:val="21"/>
              </w:rPr>
            </w:pPr>
            <w:r>
              <w:rPr>
                <w:rFonts w:hint="eastAsia" w:ascii="Microsoft YaHei UI" w:hAnsi="Microsoft YaHei UI" w:eastAsia="Microsoft YaHei UI" w:cs="宋体"/>
                <w:b/>
                <w:bCs/>
                <w:color w:val="000000"/>
                <w:spacing w:val="8"/>
                <w:kern w:val="0"/>
                <w:szCs w:val="21"/>
              </w:rPr>
              <w:t>D.</w:t>
            </w:r>
          </w:p>
          <w:p>
            <w:pPr>
              <w:widowControl/>
              <w:wordWrap w:val="0"/>
              <w:spacing w:line="300" w:lineRule="exact"/>
              <w:jc w:val="center"/>
              <w:rPr>
                <w:rFonts w:hint="eastAsia" w:ascii="Microsoft YaHei UI" w:hAnsi="Microsoft YaHei UI" w:eastAsia="Microsoft YaHei UI" w:cs="宋体"/>
                <w:color w:val="333333"/>
                <w:spacing w:val="8"/>
                <w:kern w:val="0"/>
                <w:szCs w:val="21"/>
              </w:rPr>
            </w:pPr>
            <w:r>
              <w:rPr>
                <w:rFonts w:hint="eastAsia" w:ascii="Microsoft YaHei UI" w:hAnsi="Microsoft YaHei UI" w:eastAsia="Microsoft YaHei UI" w:cs="宋体"/>
                <w:b/>
                <w:bCs/>
                <w:color w:val="000000"/>
                <w:spacing w:val="8"/>
                <w:kern w:val="0"/>
                <w:szCs w:val="21"/>
              </w:rPr>
              <w:t>社会服务</w:t>
            </w:r>
          </w:p>
          <w:p>
            <w:pPr>
              <w:widowControl/>
              <w:wordWrap w:val="0"/>
              <w:spacing w:line="300" w:lineRule="exact"/>
              <w:jc w:val="center"/>
              <w:rPr>
                <w:rFonts w:ascii="Microsoft YaHei UI" w:hAnsi="Microsoft YaHei UI" w:eastAsia="Microsoft YaHei UI" w:cs="宋体"/>
                <w:color w:val="333333"/>
                <w:spacing w:val="8"/>
                <w:kern w:val="0"/>
                <w:szCs w:val="21"/>
              </w:rPr>
            </w:pPr>
            <w:r>
              <w:rPr>
                <w:rFonts w:hint="eastAsia" w:ascii="Microsoft YaHei UI" w:hAnsi="Microsoft YaHei UI" w:eastAsia="Microsoft YaHei UI" w:cs="宋体"/>
                <w:b/>
                <w:bCs/>
                <w:color w:val="000000"/>
                <w:spacing w:val="8"/>
                <w:kern w:val="0"/>
                <w:szCs w:val="21"/>
              </w:rPr>
              <w:t>与学科声誉</w:t>
            </w:r>
          </w:p>
        </w:tc>
        <w:tc>
          <w:tcPr>
            <w:tcW w:w="2434" w:type="dxa"/>
            <w:tcBorders>
              <w:top w:val="nil"/>
              <w:left w:val="nil"/>
              <w:bottom w:val="single" w:color="auto" w:sz="12" w:space="0"/>
              <w:right w:val="single" w:color="auto" w:sz="12" w:space="0"/>
            </w:tcBorders>
            <w:shd w:val="clear" w:color="auto" w:fill="FFFFFF"/>
            <w:tcMar>
              <w:top w:w="0" w:type="dxa"/>
              <w:left w:w="120" w:type="dxa"/>
              <w:bottom w:w="0" w:type="dxa"/>
              <w:right w:w="120" w:type="dxa"/>
            </w:tcMar>
            <w:vAlign w:val="center"/>
          </w:tcPr>
          <w:p>
            <w:pPr>
              <w:widowControl/>
              <w:spacing w:line="300" w:lineRule="exact"/>
              <w:jc w:val="center"/>
              <w:rPr>
                <w:rFonts w:ascii="Microsoft YaHei UI" w:hAnsi="Microsoft YaHei UI" w:eastAsia="Microsoft YaHei UI" w:cs="宋体"/>
                <w:color w:val="333333"/>
                <w:spacing w:val="8"/>
                <w:kern w:val="0"/>
                <w:szCs w:val="21"/>
              </w:rPr>
            </w:pPr>
            <w:r>
              <w:rPr>
                <w:rFonts w:hint="eastAsia" w:ascii="Microsoft YaHei UI" w:hAnsi="Microsoft YaHei UI" w:eastAsia="Microsoft YaHei UI" w:cs="宋体"/>
                <w:color w:val="000000"/>
                <w:spacing w:val="8"/>
                <w:kern w:val="0"/>
                <w:szCs w:val="21"/>
              </w:rPr>
              <w:t>D1.社会服务</w:t>
            </w:r>
          </w:p>
        </w:tc>
        <w:tc>
          <w:tcPr>
            <w:tcW w:w="3845" w:type="dxa"/>
            <w:tcBorders>
              <w:top w:val="nil"/>
              <w:left w:val="nil"/>
              <w:bottom w:val="single" w:color="auto" w:sz="12" w:space="0"/>
              <w:right w:val="single" w:color="auto" w:sz="12" w:space="0"/>
            </w:tcBorders>
            <w:shd w:val="clear" w:color="auto" w:fill="FFFFFF"/>
            <w:vAlign w:val="center"/>
          </w:tcPr>
          <w:p>
            <w:pPr>
              <w:widowControl/>
              <w:spacing w:line="300" w:lineRule="exact"/>
              <w:ind w:firstLine="225"/>
              <w:rPr>
                <w:rFonts w:ascii="Microsoft YaHei UI" w:hAnsi="Microsoft YaHei UI" w:eastAsia="Microsoft YaHei UI" w:cs="宋体"/>
                <w:color w:val="333333"/>
                <w:spacing w:val="8"/>
                <w:kern w:val="0"/>
                <w:szCs w:val="21"/>
              </w:rPr>
            </w:pPr>
            <w:r>
              <w:rPr>
                <w:rFonts w:hint="eastAsia" w:ascii="Microsoft YaHei UI" w:hAnsi="Microsoft YaHei UI" w:eastAsia="Microsoft YaHei UI" w:cs="宋体"/>
                <w:color w:val="333333"/>
                <w:spacing w:val="8"/>
                <w:kern w:val="0"/>
                <w:szCs w:val="21"/>
              </w:rPr>
              <w:t>S23.社会服务贡献</w:t>
            </w:r>
          </w:p>
        </w:tc>
      </w:tr>
      <w:tr>
        <w:tblPrEx>
          <w:shd w:val="clear" w:color="auto" w:fill="FFFFFF"/>
          <w:tblCellMar>
            <w:top w:w="0" w:type="dxa"/>
            <w:left w:w="0" w:type="dxa"/>
            <w:bottom w:w="0" w:type="dxa"/>
            <w:right w:w="0" w:type="dxa"/>
          </w:tblCellMar>
        </w:tblPrEx>
        <w:trPr>
          <w:trHeight w:val="420" w:hRule="atLeast"/>
          <w:jc w:val="center"/>
        </w:trPr>
        <w:tc>
          <w:tcPr>
            <w:tcW w:w="0" w:type="auto"/>
            <w:vMerge w:val="continue"/>
            <w:tcBorders>
              <w:top w:val="nil"/>
              <w:left w:val="single" w:color="auto" w:sz="12" w:space="0"/>
              <w:bottom w:val="single" w:color="auto" w:sz="12" w:space="0"/>
              <w:right w:val="single" w:color="auto" w:sz="12" w:space="0"/>
            </w:tcBorders>
            <w:shd w:val="clear" w:color="auto" w:fill="FFFFFF"/>
            <w:vAlign w:val="center"/>
          </w:tcPr>
          <w:p>
            <w:pPr>
              <w:widowControl/>
              <w:jc w:val="left"/>
              <w:rPr>
                <w:rFonts w:ascii="Microsoft YaHei UI" w:hAnsi="Microsoft YaHei UI" w:eastAsia="Microsoft YaHei UI" w:cs="宋体"/>
                <w:color w:val="333333"/>
                <w:spacing w:val="8"/>
                <w:kern w:val="0"/>
                <w:szCs w:val="21"/>
              </w:rPr>
            </w:pPr>
          </w:p>
        </w:tc>
        <w:tc>
          <w:tcPr>
            <w:tcW w:w="2434" w:type="dxa"/>
            <w:vMerge w:val="restart"/>
            <w:tcBorders>
              <w:top w:val="nil"/>
              <w:left w:val="nil"/>
              <w:bottom w:val="single" w:color="auto" w:sz="12" w:space="0"/>
              <w:right w:val="single" w:color="auto" w:sz="12" w:space="0"/>
            </w:tcBorders>
            <w:shd w:val="clear" w:color="auto" w:fill="FFFFFF"/>
            <w:tcMar>
              <w:top w:w="0" w:type="dxa"/>
              <w:left w:w="120" w:type="dxa"/>
              <w:bottom w:w="0" w:type="dxa"/>
              <w:right w:w="120" w:type="dxa"/>
            </w:tcMar>
            <w:vAlign w:val="center"/>
          </w:tcPr>
          <w:p>
            <w:pPr>
              <w:widowControl/>
              <w:spacing w:line="300" w:lineRule="exact"/>
              <w:jc w:val="center"/>
              <w:rPr>
                <w:rFonts w:ascii="Microsoft YaHei UI" w:hAnsi="Microsoft YaHei UI" w:eastAsia="Microsoft YaHei UI" w:cs="宋体"/>
                <w:color w:val="333333"/>
                <w:spacing w:val="8"/>
                <w:kern w:val="0"/>
                <w:szCs w:val="21"/>
              </w:rPr>
            </w:pPr>
            <w:r>
              <w:rPr>
                <w:rFonts w:hint="eastAsia" w:ascii="Microsoft YaHei UI" w:hAnsi="Microsoft YaHei UI" w:eastAsia="Microsoft YaHei UI" w:cs="宋体"/>
                <w:color w:val="000000"/>
                <w:spacing w:val="8"/>
                <w:kern w:val="0"/>
                <w:szCs w:val="21"/>
              </w:rPr>
              <w:t>D2.学科声誉</w:t>
            </w:r>
          </w:p>
        </w:tc>
        <w:tc>
          <w:tcPr>
            <w:tcW w:w="3845" w:type="dxa"/>
            <w:tcBorders>
              <w:top w:val="nil"/>
              <w:left w:val="nil"/>
              <w:bottom w:val="single" w:color="auto" w:sz="12" w:space="0"/>
              <w:right w:val="single" w:color="auto" w:sz="12" w:space="0"/>
            </w:tcBorders>
            <w:shd w:val="clear" w:color="auto" w:fill="FFFFFF"/>
            <w:vAlign w:val="center"/>
          </w:tcPr>
          <w:p>
            <w:pPr>
              <w:widowControl/>
              <w:spacing w:line="300" w:lineRule="exact"/>
              <w:ind w:firstLine="225"/>
              <w:rPr>
                <w:rFonts w:ascii="Microsoft YaHei UI" w:hAnsi="Microsoft YaHei UI" w:eastAsia="Microsoft YaHei UI" w:cs="宋体"/>
                <w:color w:val="333333"/>
                <w:spacing w:val="8"/>
                <w:kern w:val="0"/>
                <w:szCs w:val="21"/>
              </w:rPr>
            </w:pPr>
            <w:r>
              <w:rPr>
                <w:rFonts w:hint="eastAsia" w:ascii="Microsoft YaHei UI" w:hAnsi="Microsoft YaHei UI" w:eastAsia="Microsoft YaHei UI" w:cs="宋体"/>
                <w:color w:val="000000"/>
                <w:spacing w:val="8"/>
                <w:kern w:val="0"/>
                <w:szCs w:val="21"/>
              </w:rPr>
              <w:t>S24.国内声誉调查情况</w:t>
            </w:r>
          </w:p>
        </w:tc>
      </w:tr>
      <w:tr>
        <w:tblPrEx>
          <w:tblCellMar>
            <w:top w:w="0" w:type="dxa"/>
            <w:left w:w="0" w:type="dxa"/>
            <w:bottom w:w="0" w:type="dxa"/>
            <w:right w:w="0" w:type="dxa"/>
          </w:tblCellMar>
        </w:tblPrEx>
        <w:trPr>
          <w:trHeight w:val="420" w:hRule="atLeast"/>
          <w:jc w:val="center"/>
        </w:trPr>
        <w:tc>
          <w:tcPr>
            <w:tcW w:w="0" w:type="auto"/>
            <w:vMerge w:val="continue"/>
            <w:tcBorders>
              <w:top w:val="nil"/>
              <w:left w:val="single" w:color="auto" w:sz="12" w:space="0"/>
              <w:bottom w:val="single" w:color="auto" w:sz="12" w:space="0"/>
              <w:right w:val="single" w:color="auto" w:sz="12" w:space="0"/>
            </w:tcBorders>
            <w:shd w:val="clear" w:color="auto" w:fill="FFFFFF"/>
            <w:vAlign w:val="center"/>
          </w:tcPr>
          <w:p>
            <w:pPr>
              <w:widowControl/>
              <w:jc w:val="left"/>
              <w:rPr>
                <w:rFonts w:ascii="Microsoft YaHei UI" w:hAnsi="Microsoft YaHei UI" w:eastAsia="Microsoft YaHei UI" w:cs="宋体"/>
                <w:color w:val="333333"/>
                <w:spacing w:val="8"/>
                <w:kern w:val="0"/>
                <w:szCs w:val="21"/>
              </w:rPr>
            </w:pPr>
          </w:p>
        </w:tc>
        <w:tc>
          <w:tcPr>
            <w:tcW w:w="0" w:type="auto"/>
            <w:vMerge w:val="continue"/>
            <w:tcBorders>
              <w:top w:val="nil"/>
              <w:left w:val="nil"/>
              <w:bottom w:val="single" w:color="auto" w:sz="12" w:space="0"/>
              <w:right w:val="single" w:color="auto" w:sz="12" w:space="0"/>
            </w:tcBorders>
            <w:shd w:val="clear" w:color="auto" w:fill="FFFFFF"/>
            <w:vAlign w:val="center"/>
          </w:tcPr>
          <w:p>
            <w:pPr>
              <w:widowControl/>
              <w:spacing w:line="300" w:lineRule="exact"/>
              <w:jc w:val="left"/>
              <w:rPr>
                <w:rFonts w:ascii="Microsoft YaHei UI" w:hAnsi="Microsoft YaHei UI" w:eastAsia="Microsoft YaHei UI" w:cs="宋体"/>
                <w:color w:val="333333"/>
                <w:spacing w:val="8"/>
                <w:kern w:val="0"/>
                <w:szCs w:val="21"/>
              </w:rPr>
            </w:pPr>
          </w:p>
        </w:tc>
        <w:tc>
          <w:tcPr>
            <w:tcW w:w="3845" w:type="dxa"/>
            <w:tcBorders>
              <w:top w:val="nil"/>
              <w:left w:val="nil"/>
              <w:bottom w:val="single" w:color="auto" w:sz="12" w:space="0"/>
              <w:right w:val="single" w:color="auto" w:sz="12" w:space="0"/>
            </w:tcBorders>
            <w:shd w:val="clear" w:color="auto" w:fill="FFFFFF"/>
            <w:vAlign w:val="center"/>
          </w:tcPr>
          <w:p>
            <w:pPr>
              <w:widowControl/>
              <w:spacing w:line="300" w:lineRule="exact"/>
              <w:ind w:firstLine="225"/>
              <w:rPr>
                <w:rFonts w:ascii="Microsoft YaHei UI" w:hAnsi="Microsoft YaHei UI" w:eastAsia="Microsoft YaHei UI" w:cs="宋体"/>
                <w:color w:val="333333"/>
                <w:spacing w:val="8"/>
                <w:kern w:val="0"/>
                <w:szCs w:val="21"/>
              </w:rPr>
            </w:pPr>
            <w:r>
              <w:rPr>
                <w:rFonts w:hint="eastAsia" w:ascii="Microsoft YaHei UI" w:hAnsi="Microsoft YaHei UI" w:eastAsia="Microsoft YaHei UI" w:cs="宋体"/>
                <w:color w:val="000000"/>
                <w:spacing w:val="8"/>
                <w:kern w:val="0"/>
                <w:szCs w:val="21"/>
              </w:rPr>
              <w:t>S25.国际声誉调查情况</w:t>
            </w:r>
            <w:r>
              <w:rPr>
                <w:rFonts w:hint="eastAsia" w:ascii="楷体_GB2312" w:hAnsi="Microsoft YaHei UI" w:eastAsia="楷体_GB2312" w:cs="宋体"/>
                <w:color w:val="333333"/>
                <w:spacing w:val="8"/>
                <w:kern w:val="0"/>
                <w:szCs w:val="21"/>
              </w:rPr>
              <w:t>（部分学科）</w:t>
            </w:r>
          </w:p>
        </w:tc>
      </w:tr>
    </w:tbl>
    <w:p>
      <w:pPr>
        <w:rPr>
          <w:rFonts w:hint="eastAsia"/>
        </w:rPr>
      </w:pPr>
      <w:r>
        <w:rPr>
          <w:rFonts w:hint="eastAsia"/>
        </w:rPr>
        <w:t>注：按一级学科分别设置99套指标体系，各学科按学科特色分别设置17-21个三级指标。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056E74"/>
    <w:rsid w:val="0E056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2020-11-12T01:45:00Z</dcterms:created>
  <dc:creator>HP</dc:creator>
  <lastModifiedBy>HP</lastModifiedBy>
  <dcterms:modified xsi:type="dcterms:W3CDTF">2020-11-12T01:46:40Z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